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adjustRightInd w:val="0"/>
        <w:snapToGrid w:val="0"/>
        <w:spacing w:line="240" w:lineRule="auto"/>
        <w:rPr>
          <w:rFonts w:hint="eastAsia" w:ascii="宋体" w:hAnsi="宋体" w:eastAsia="宋体"/>
          <w:b/>
        </w:rPr>
      </w:pPr>
    </w:p>
    <w:p>
      <w:pPr>
        <w:pStyle w:val="9"/>
        <w:adjustRightInd w:val="0"/>
        <w:snapToGrid w:val="0"/>
        <w:spacing w:line="240" w:lineRule="auto"/>
        <w:rPr>
          <w:rFonts w:ascii="宋体" w:hAnsi="宋体" w:eastAsia="宋体"/>
          <w:b/>
          <w:szCs w:val="36"/>
        </w:rPr>
      </w:pPr>
      <w:bookmarkStart w:id="10" w:name="_GoBack"/>
      <w:r>
        <w:rPr>
          <w:rFonts w:hint="eastAsia" w:ascii="宋体" w:hAnsi="宋体" w:eastAsia="宋体"/>
          <w:b/>
        </w:rPr>
        <w:t>201</w:t>
      </w:r>
      <w:r>
        <w:rPr>
          <w:rFonts w:hint="eastAsia" w:ascii="宋体" w:hAnsi="宋体" w:eastAsia="宋体"/>
          <w:b/>
          <w:lang w:val="en-US" w:eastAsia="zh-CN"/>
        </w:rPr>
        <w:t>9</w:t>
      </w:r>
      <w:r>
        <w:rPr>
          <w:rFonts w:hint="eastAsia" w:ascii="宋体" w:hAnsi="宋体" w:eastAsia="宋体"/>
          <w:b/>
        </w:rPr>
        <w:t>年度公共卫生服务</w:t>
      </w:r>
      <w:r>
        <w:rPr>
          <w:rFonts w:hint="eastAsia" w:ascii="宋体" w:hAnsi="宋体" w:eastAsia="宋体"/>
          <w:b/>
          <w:szCs w:val="36"/>
        </w:rPr>
        <w:t>地方病防治项目总结报告</w:t>
      </w:r>
    </w:p>
    <w:bookmarkEnd w:id="10"/>
    <w:p>
      <w:pPr>
        <w:pStyle w:val="10"/>
        <w:adjustRightInd w:val="0"/>
        <w:snapToGrid w:val="0"/>
        <w:spacing w:line="240" w:lineRule="auto"/>
        <w:ind w:firstLine="1876" w:firstLineChars="782"/>
        <w:rPr>
          <w:rFonts w:ascii="仿宋" w:hAnsi="仿宋" w:eastAsia="仿宋"/>
          <w:szCs w:val="24"/>
        </w:rPr>
      </w:pPr>
    </w:p>
    <w:p>
      <w:pPr>
        <w:pStyle w:val="10"/>
        <w:adjustRightInd w:val="0"/>
        <w:snapToGrid w:val="0"/>
        <w:spacing w:line="240" w:lineRule="auto"/>
        <w:ind w:firstLine="1876" w:firstLineChars="782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中国疾病预防控制中心地方病控制中心</w:t>
      </w:r>
    </w:p>
    <w:p>
      <w:pPr>
        <w:pStyle w:val="10"/>
        <w:adjustRightInd w:val="0"/>
        <w:snapToGrid w:val="0"/>
        <w:spacing w:line="360" w:lineRule="auto"/>
        <w:ind w:firstLine="480"/>
      </w:pPr>
    </w:p>
    <w:p>
      <w:pPr>
        <w:pStyle w:val="11"/>
        <w:adjustRightInd w:val="0"/>
        <w:snapToGrid w:val="0"/>
        <w:spacing w:line="360" w:lineRule="auto"/>
        <w:ind w:firstLine="480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>为持续控制和消除重点地方病</w:t>
      </w:r>
      <w:r>
        <w:rPr>
          <w:rFonts w:hint="eastAsia" w:ascii="宋体" w:hAnsi="宋体" w:eastAsia="宋体"/>
          <w:szCs w:val="24"/>
          <w:lang w:val="en-US" w:eastAsia="zh-CN"/>
        </w:rPr>
        <w:t>危害</w:t>
      </w:r>
      <w:r>
        <w:rPr>
          <w:rFonts w:hint="eastAsia" w:ascii="宋体" w:hAnsi="宋体" w:eastAsia="宋体"/>
          <w:szCs w:val="24"/>
        </w:rPr>
        <w:t>，完成</w:t>
      </w:r>
      <w:r>
        <w:rPr>
          <w:rFonts w:hint="eastAsia" w:ascii="宋体" w:hAnsi="宋体" w:eastAsia="宋体"/>
          <w:szCs w:val="24"/>
          <w:lang w:val="en-US" w:eastAsia="zh-CN"/>
        </w:rPr>
        <w:t>地方病防治专项三年攻坚行动方案和</w:t>
      </w:r>
      <w:r>
        <w:rPr>
          <w:rFonts w:hint="eastAsia" w:ascii="宋体" w:hAnsi="宋体" w:eastAsia="宋体"/>
          <w:szCs w:val="24"/>
        </w:rPr>
        <w:t>“十三五”</w:t>
      </w:r>
      <w:r>
        <w:rPr>
          <w:rFonts w:hint="eastAsia" w:ascii="宋体" w:hAnsi="宋体" w:eastAsia="宋体"/>
          <w:szCs w:val="24"/>
          <w:lang w:val="en-US" w:eastAsia="zh-CN"/>
        </w:rPr>
        <w:t>全国地方病防治</w:t>
      </w:r>
      <w:r>
        <w:rPr>
          <w:rFonts w:hint="eastAsia" w:ascii="宋体" w:hAnsi="宋体" w:eastAsia="宋体"/>
          <w:szCs w:val="24"/>
        </w:rPr>
        <w:t>规划目标，201</w:t>
      </w:r>
      <w:r>
        <w:rPr>
          <w:rFonts w:hint="eastAsia" w:ascii="宋体" w:hAnsi="宋体" w:eastAsia="宋体"/>
          <w:szCs w:val="24"/>
          <w:lang w:val="en-US" w:eastAsia="zh-CN"/>
        </w:rPr>
        <w:t>9</w:t>
      </w:r>
      <w:r>
        <w:rPr>
          <w:rFonts w:hint="eastAsia" w:ascii="宋体" w:hAnsi="宋体" w:eastAsia="宋体"/>
          <w:szCs w:val="24"/>
        </w:rPr>
        <w:t>年公共卫生服务地方病防治项目以地方病监测为重点，继续开展病人治疗，</w:t>
      </w:r>
      <w:r>
        <w:rPr>
          <w:rFonts w:hint="eastAsia" w:ascii="宋体" w:hAnsi="宋体" w:eastAsia="宋体"/>
          <w:szCs w:val="24"/>
          <w:lang w:val="en-US" w:eastAsia="zh-CN"/>
        </w:rPr>
        <w:t>落实地方病健康教育，</w:t>
      </w:r>
      <w:r>
        <w:rPr>
          <w:rFonts w:hint="eastAsia" w:ascii="宋体" w:hAnsi="宋体" w:eastAsia="宋体"/>
          <w:szCs w:val="24"/>
        </w:rPr>
        <w:t>进一步加强地方病防治</w:t>
      </w:r>
      <w:r>
        <w:rPr>
          <w:rFonts w:hint="eastAsia" w:ascii="宋体" w:hAnsi="宋体" w:eastAsia="宋体"/>
          <w:szCs w:val="24"/>
          <w:lang w:val="en-US" w:eastAsia="zh-CN"/>
        </w:rPr>
        <w:t>能力建设</w:t>
      </w:r>
      <w:r>
        <w:rPr>
          <w:rFonts w:hint="eastAsia" w:ascii="宋体" w:hAnsi="宋体" w:eastAsia="宋体"/>
          <w:szCs w:val="24"/>
        </w:rPr>
        <w:t>等工作。全国31个省、自治区、直辖市（以下简称省份）和新疆生产建设兵团（以下简称兵团）开展了201</w:t>
      </w:r>
      <w:r>
        <w:rPr>
          <w:rFonts w:hint="eastAsia" w:ascii="宋体" w:hAnsi="宋体" w:eastAsia="宋体"/>
          <w:szCs w:val="24"/>
          <w:lang w:val="en-US" w:eastAsia="zh-CN"/>
        </w:rPr>
        <w:t>9</w:t>
      </w:r>
      <w:r>
        <w:rPr>
          <w:rFonts w:hint="eastAsia" w:ascii="宋体" w:hAnsi="宋体" w:eastAsia="宋体"/>
          <w:szCs w:val="24"/>
        </w:rPr>
        <w:t>年地方病防治项目的各项工作。现将项目完成情况及主要结果总结如下。</w:t>
      </w:r>
    </w:p>
    <w:p>
      <w:pPr>
        <w:pStyle w:val="11"/>
        <w:adjustRightInd w:val="0"/>
        <w:snapToGrid w:val="0"/>
        <w:spacing w:line="360" w:lineRule="auto"/>
        <w:ind w:firstLine="482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Cs w:val="24"/>
        </w:rPr>
        <w:t>一、项目组织实施情况</w:t>
      </w:r>
    </w:p>
    <w:p>
      <w:pPr>
        <w:pStyle w:val="11"/>
        <w:adjustRightInd w:val="0"/>
        <w:snapToGrid w:val="0"/>
        <w:spacing w:line="360" w:lineRule="auto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国家卫生健康委员会负责项目的组织、协调、监督等工作。中国地病中心负责项目实施的技术支持与指导。</w:t>
      </w:r>
      <w:r>
        <w:rPr>
          <w:rFonts w:hint="eastAsia" w:ascii="宋体" w:hAnsi="宋体" w:eastAsia="宋体"/>
          <w:szCs w:val="24"/>
          <w:lang w:val="en-US" w:eastAsia="zh-CN"/>
        </w:rPr>
        <w:t>按照地方病三年攻坚的要求</w:t>
      </w:r>
      <w:r>
        <w:rPr>
          <w:rFonts w:ascii="宋体" w:hAnsi="宋体" w:eastAsia="宋体"/>
          <w:szCs w:val="24"/>
        </w:rPr>
        <w:t>，</w:t>
      </w:r>
      <w:r>
        <w:rPr>
          <w:rFonts w:hint="eastAsia" w:ascii="宋体" w:hAnsi="宋体" w:eastAsia="宋体"/>
          <w:szCs w:val="24"/>
          <w:lang w:val="en-US" w:eastAsia="zh-CN"/>
        </w:rPr>
        <w:t>各省份和兵团的省、市、县级普遍</w:t>
      </w:r>
      <w:r>
        <w:rPr>
          <w:rFonts w:hint="eastAsia" w:ascii="宋体" w:hAnsi="宋体" w:eastAsia="宋体" w:cs="Times New Roman"/>
          <w:sz w:val="24"/>
          <w:szCs w:val="24"/>
          <w:lang w:val="en-US"/>
        </w:rPr>
        <w:t>成立了以政府主要领导任组长的地方病防治领导小组，各级</w:t>
      </w:r>
      <w:r>
        <w:rPr>
          <w:rFonts w:hint="eastAsia" w:ascii="宋体" w:hAnsi="宋体" w:eastAsia="宋体" w:cs="Times New Roman"/>
          <w:sz w:val="24"/>
          <w:szCs w:val="24"/>
        </w:rPr>
        <w:t>逐级</w:t>
      </w:r>
      <w:r>
        <w:rPr>
          <w:rFonts w:hint="eastAsia" w:ascii="宋体" w:hAnsi="宋体" w:eastAsia="宋体" w:cs="Times New Roman"/>
          <w:sz w:val="24"/>
          <w:szCs w:val="24"/>
          <w:lang w:val="en-US"/>
        </w:rPr>
        <w:t>签订目标责任书，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建立工作台账，</w:t>
      </w:r>
      <w:r>
        <w:rPr>
          <w:rFonts w:hint="eastAsia" w:ascii="宋体" w:hAnsi="宋体" w:eastAsia="宋体" w:cs="Times New Roman"/>
          <w:sz w:val="24"/>
          <w:szCs w:val="24"/>
          <w:lang w:val="en-US"/>
        </w:rPr>
        <w:t>明确任务，夯实责任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/>
          <w:szCs w:val="24"/>
        </w:rPr>
        <w:t>各省份</w:t>
      </w:r>
      <w:r>
        <w:rPr>
          <w:rFonts w:hint="eastAsia" w:ascii="宋体" w:hAnsi="宋体" w:eastAsia="宋体"/>
          <w:szCs w:val="24"/>
          <w:lang w:val="en-US" w:eastAsia="zh-CN"/>
        </w:rPr>
        <w:t>完成</w:t>
      </w:r>
      <w:r>
        <w:rPr>
          <w:rFonts w:hint="eastAsia" w:ascii="宋体" w:hAnsi="宋体" w:eastAsia="宋体"/>
          <w:szCs w:val="24"/>
        </w:rPr>
        <w:t>201</w:t>
      </w:r>
      <w:r>
        <w:rPr>
          <w:rFonts w:hint="eastAsia" w:ascii="宋体" w:hAnsi="宋体" w:eastAsia="宋体"/>
          <w:szCs w:val="24"/>
          <w:lang w:val="en-US" w:eastAsia="zh-CN"/>
        </w:rPr>
        <w:t>9</w:t>
      </w:r>
      <w:r>
        <w:rPr>
          <w:rFonts w:hint="eastAsia" w:ascii="宋体" w:hAnsi="宋体" w:eastAsia="宋体"/>
          <w:szCs w:val="24"/>
        </w:rPr>
        <w:t>年地方病防治项目的各项工作，</w:t>
      </w:r>
      <w:r>
        <w:rPr>
          <w:rFonts w:hint="eastAsia" w:ascii="宋体" w:hAnsi="宋体" w:eastAsia="宋体"/>
          <w:szCs w:val="24"/>
          <w:lang w:val="en-US" w:eastAsia="zh-CN"/>
        </w:rPr>
        <w:t>并</w:t>
      </w:r>
      <w:r>
        <w:rPr>
          <w:rFonts w:hint="eastAsia" w:ascii="宋体" w:hAnsi="宋体" w:eastAsia="宋体"/>
          <w:szCs w:val="24"/>
        </w:rPr>
        <w:t>根据项目任务</w:t>
      </w:r>
      <w:r>
        <w:rPr>
          <w:rFonts w:hint="eastAsia" w:ascii="宋体" w:hAnsi="宋体" w:eastAsia="宋体"/>
          <w:szCs w:val="24"/>
          <w:lang w:val="en-US" w:eastAsia="zh-CN"/>
        </w:rPr>
        <w:t>需求</w:t>
      </w:r>
      <w:r>
        <w:rPr>
          <w:rFonts w:hint="eastAsia" w:ascii="宋体" w:hAnsi="宋体" w:eastAsia="宋体"/>
          <w:szCs w:val="24"/>
        </w:rPr>
        <w:t>开展了项目工作的技术培训。</w:t>
      </w:r>
    </w:p>
    <w:p>
      <w:pPr>
        <w:pStyle w:val="11"/>
        <w:spacing w:line="360" w:lineRule="auto"/>
        <w:ind w:firstLine="482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Cs w:val="24"/>
        </w:rPr>
        <w:t>二、项目完成情况及主要结果</w:t>
      </w:r>
    </w:p>
    <w:p>
      <w:pPr>
        <w:pStyle w:val="11"/>
        <w:spacing w:line="360" w:lineRule="auto"/>
        <w:ind w:firstLine="482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Cs w:val="24"/>
        </w:rPr>
        <w:t>（一）碘缺乏病监测</w:t>
      </w:r>
    </w:p>
    <w:p>
      <w:pPr>
        <w:pStyle w:val="11"/>
        <w:spacing w:line="360" w:lineRule="auto"/>
        <w:ind w:firstLine="480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1.项目完成情况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本</w:t>
      </w:r>
      <w:r>
        <w:rPr>
          <w:rFonts w:hint="eastAsia" w:ascii="宋体" w:hAnsi="宋体"/>
          <w:color w:val="000000"/>
          <w:sz w:val="24"/>
          <w:highlight w:val="none"/>
        </w:rPr>
        <w:t>年度碘缺乏病</w:t>
      </w:r>
      <w:r>
        <w:rPr>
          <w:rFonts w:ascii="宋体" w:hAnsi="宋体"/>
          <w:color w:val="000000"/>
          <w:sz w:val="24"/>
          <w:highlight w:val="none"/>
        </w:rPr>
        <w:t>监测</w:t>
      </w:r>
      <w:r>
        <w:rPr>
          <w:rFonts w:hint="eastAsia" w:ascii="宋体" w:hAnsi="宋体"/>
          <w:color w:val="000000"/>
          <w:sz w:val="24"/>
          <w:highlight w:val="none"/>
        </w:rPr>
        <w:t>工作</w:t>
      </w:r>
      <w:r>
        <w:rPr>
          <w:rFonts w:ascii="宋体" w:hAnsi="宋体"/>
          <w:color w:val="000000"/>
          <w:sz w:val="24"/>
          <w:highlight w:val="none"/>
        </w:rPr>
        <w:t>在全国31个省份及兵团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28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19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个</w:t>
      </w:r>
      <w:r>
        <w:rPr>
          <w:rFonts w:hint="eastAsia" w:ascii="宋体" w:hAnsi="宋体"/>
          <w:color w:val="000000"/>
          <w:sz w:val="24"/>
          <w:highlight w:val="none"/>
        </w:rPr>
        <w:t>非高碘县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开展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pStyle w:val="11"/>
        <w:spacing w:line="360" w:lineRule="auto"/>
        <w:ind w:firstLine="480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2.主要结果</w:t>
      </w:r>
    </w:p>
    <w:p>
      <w:pPr>
        <w:pStyle w:val="11"/>
        <w:spacing w:line="360" w:lineRule="auto"/>
        <w:ind w:firstLine="480"/>
        <w:rPr>
          <w:rFonts w:hint="eastAsia"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（1）儿童尿碘结果</w:t>
      </w:r>
    </w:p>
    <w:p>
      <w:pPr>
        <w:pStyle w:val="11"/>
        <w:spacing w:line="360" w:lineRule="auto"/>
        <w:ind w:firstLine="480"/>
        <w:rPr>
          <w:rFonts w:hint="eastAsia" w:ascii="宋体" w:hAnsi="宋体" w:eastAsia="宋体"/>
          <w:color w:val="000000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201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szCs w:val="24"/>
          <w:highlight w:val="none"/>
        </w:rPr>
        <w:t>年全国共检测了28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eastAsia="宋体"/>
          <w:szCs w:val="24"/>
          <w:highlight w:val="none"/>
        </w:rPr>
        <w:t>个县的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568716</w:t>
      </w:r>
      <w:r>
        <w:rPr>
          <w:rFonts w:hint="eastAsia" w:ascii="宋体" w:hAnsi="宋体" w:eastAsia="宋体"/>
          <w:szCs w:val="24"/>
          <w:highlight w:val="none"/>
        </w:rPr>
        <w:t>名8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/>
          <w:szCs w:val="24"/>
          <w:highlight w:val="none"/>
        </w:rPr>
        <w:t>10岁儿童随意一次尿碘含量，尿碘中位数为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207</w:t>
      </w:r>
      <w:r>
        <w:rPr>
          <w:rFonts w:hint="eastAsia" w:ascii="宋体" w:hAnsi="宋体" w:eastAsia="宋体"/>
          <w:szCs w:val="24"/>
          <w:highlight w:val="none"/>
        </w:rPr>
        <w:t>.1</w:t>
      </w:r>
      <w:r>
        <w:rPr>
          <w:rFonts w:hint="eastAsia" w:ascii="宋体" w:hAnsi="宋体" w:eastAsia="宋体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szCs w:val="24"/>
          <w:highlight w:val="none"/>
        </w:rPr>
        <w:t>g/L。本次监测中有1</w:t>
      </w:r>
      <w:r>
        <w:rPr>
          <w:rFonts w:hint="eastAsia" w:ascii="宋体" w:hAnsi="宋体" w:eastAsia="宋体"/>
          <w:szCs w:val="24"/>
          <w:highlight w:val="none"/>
          <w:lang w:eastAsia="zh-CN"/>
        </w:rPr>
        <w:t>6</w:t>
      </w:r>
      <w:r>
        <w:rPr>
          <w:rFonts w:hint="eastAsia" w:ascii="宋体" w:hAnsi="宋体" w:eastAsia="宋体"/>
          <w:szCs w:val="24"/>
          <w:highlight w:val="none"/>
        </w:rPr>
        <w:t>个省份尿碘中位数在100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/>
          <w:szCs w:val="24"/>
          <w:highlight w:val="none"/>
        </w:rPr>
        <w:t>199</w:t>
      </w:r>
      <w:r>
        <w:rPr>
          <w:rFonts w:hint="eastAsia" w:ascii="宋体" w:hAnsi="宋体" w:eastAsia="宋体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szCs w:val="24"/>
          <w:highlight w:val="none"/>
        </w:rPr>
        <w:t>g/L之间；1</w:t>
      </w:r>
      <w:r>
        <w:rPr>
          <w:rFonts w:hint="eastAsia" w:ascii="宋体" w:hAnsi="宋体" w:eastAsia="宋体"/>
          <w:szCs w:val="24"/>
          <w:highlight w:val="none"/>
          <w:lang w:eastAsia="zh-CN"/>
        </w:rPr>
        <w:t>5</w:t>
      </w:r>
      <w:r>
        <w:rPr>
          <w:rFonts w:hint="eastAsia" w:ascii="宋体" w:hAnsi="宋体" w:eastAsia="宋体"/>
          <w:szCs w:val="24"/>
          <w:highlight w:val="none"/>
        </w:rPr>
        <w:t>个省份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/>
          <w:szCs w:val="24"/>
          <w:highlight w:val="none"/>
        </w:rPr>
        <w:t>兵团尿碘中位数在200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/>
          <w:szCs w:val="24"/>
          <w:highlight w:val="none"/>
        </w:rPr>
        <w:t>299</w:t>
      </w:r>
      <w:r>
        <w:rPr>
          <w:rFonts w:hint="eastAsia" w:ascii="宋体" w:hAnsi="宋体" w:eastAsia="宋体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szCs w:val="24"/>
          <w:highlight w:val="none"/>
        </w:rPr>
        <w:t>g/L之间，见表1。</w:t>
      </w:r>
      <w:r>
        <w:rPr>
          <w:rFonts w:hint="eastAsia" w:ascii="宋体" w:hAnsi="宋体" w:eastAsia="宋体"/>
          <w:color w:val="000000"/>
          <w:szCs w:val="24"/>
          <w:highlight w:val="none"/>
        </w:rPr>
        <w:t>未见儿童尿碘中位数低于100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g/L或儿童尿碘小于50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g/L的比例超过20%的省份，也未见儿童尿碘中位数超过300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g/L的省份。</w:t>
      </w:r>
    </w:p>
    <w:p>
      <w:pPr>
        <w:tabs>
          <w:tab w:val="left" w:pos="3240"/>
        </w:tabs>
        <w:spacing w:beforeLines="50" w:line="360" w:lineRule="auto"/>
        <w:jc w:val="center"/>
        <w:rPr>
          <w:rFonts w:ascii="宋体" w:hAnsi="宋体" w:eastAsia="宋体"/>
          <w:b/>
          <w:bCs/>
          <w:szCs w:val="21"/>
          <w:highlight w:val="none"/>
        </w:rPr>
      </w:pPr>
      <w:r>
        <w:rPr>
          <w:rFonts w:ascii="宋体" w:hAnsi="宋体" w:eastAsia="宋体"/>
          <w:b/>
          <w:bCs/>
          <w:szCs w:val="21"/>
          <w:highlight w:val="none"/>
        </w:rPr>
        <w:t>表1  201</w:t>
      </w:r>
      <w:r>
        <w:rPr>
          <w:rFonts w:hint="eastAsia" w:ascii="宋体" w:hAnsi="宋体" w:eastAsia="宋体"/>
          <w:b/>
          <w:bCs/>
          <w:szCs w:val="21"/>
          <w:highlight w:val="none"/>
          <w:lang w:val="en-US" w:eastAsia="zh-CN"/>
        </w:rPr>
        <w:t>9</w:t>
      </w:r>
      <w:r>
        <w:rPr>
          <w:rFonts w:ascii="宋体" w:hAnsi="宋体" w:eastAsia="宋体"/>
          <w:b/>
          <w:bCs/>
          <w:szCs w:val="21"/>
          <w:highlight w:val="none"/>
        </w:rPr>
        <w:t>年全国各省份及兵团8～10岁儿童尿碘中位数分类</w:t>
      </w:r>
    </w:p>
    <w:tbl>
      <w:tblPr>
        <w:tblW w:w="8208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414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794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pStyle w:val="3"/>
              <w:spacing w:after="0" w:line="360" w:lineRule="auto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尿碘中位数</w:t>
            </w:r>
          </w:p>
        </w:tc>
        <w:tc>
          <w:tcPr>
            <w:tcW w:w="6414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省份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94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100～199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sym w:font="Symbol" w:char="F06D"/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g/L</w:t>
            </w:r>
          </w:p>
        </w:tc>
        <w:tc>
          <w:tcPr>
            <w:tcW w:w="6414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辽宁、福建、北京、浙江、广西、黑龙江、上海、海南、天津、吉林、广东、江西、山东、河北、甘肃、四川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94" w:type="dxa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200～299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sym w:font="Symbol" w:char="F06D"/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g/L</w:t>
            </w:r>
          </w:p>
        </w:tc>
        <w:tc>
          <w:tcPr>
            <w:tcW w:w="6414" w:type="dxa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内蒙古、青海、宁夏、贵州、江苏、山西、陕西、云南、重庆、新疆、河南、西藏、兵团、湖南、湖北、安徽</w:t>
            </w:r>
          </w:p>
        </w:tc>
      </w:tr>
    </w:tbl>
    <w:p>
      <w:pPr>
        <w:pStyle w:val="11"/>
        <w:spacing w:line="360" w:lineRule="auto"/>
        <w:ind w:firstLine="480" w:firstLineChars="200"/>
        <w:rPr>
          <w:rFonts w:hint="eastAsia" w:ascii="宋体" w:hAnsi="宋体" w:eastAsia="宋体"/>
          <w:color w:val="000000"/>
          <w:szCs w:val="24"/>
          <w:highlight w:val="none"/>
        </w:rPr>
      </w:pPr>
      <w:r>
        <w:rPr>
          <w:rFonts w:hint="eastAsia" w:ascii="宋体" w:hAnsi="宋体" w:eastAsia="宋体"/>
          <w:color w:val="000000"/>
          <w:szCs w:val="24"/>
          <w:highlight w:val="none"/>
        </w:rPr>
        <w:t>县级水平上，2819个县中，8个县儿童尿碘中位数小于100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g/L，1340个县儿童尿碘中位数处于100~199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g/L之间，1360个县儿童尿碘中位数处于200~299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g/L之间，111个县儿童尿碘中位数大于等于300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g/L。儿童尿碘中位数小于100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g/L、100~199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g/L、200~299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g/L和大于等于300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g/L的县分别占监测总县数的0.3%、47.5%、48.3%和3.9%，儿童尿碘中位数小于100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g/L的8个县分布于广东（2个）以及河北、黑龙江、河南、广西、四川、青海（各1个）；儿童尿碘中位数大于300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g/L的111个县分布于湖北（16个，占本省监测总县数的15.5%）、安徽（13个，占12.5%）、河南（18个，占11.5%）、西藏（5个，8.8%）和重庆（3个，占7.7%）。</w:t>
      </w:r>
    </w:p>
    <w:p>
      <w:pPr>
        <w:pStyle w:val="11"/>
        <w:spacing w:beforeLines="0" w:line="360" w:lineRule="auto"/>
        <w:ind w:firstLine="480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（2）孕妇尿碘结果</w:t>
      </w:r>
    </w:p>
    <w:p>
      <w:pPr>
        <w:pStyle w:val="11"/>
        <w:spacing w:beforeLines="0" w:line="360" w:lineRule="auto"/>
        <w:ind w:firstLine="480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Cs w:val="24"/>
          <w:highlight w:val="none"/>
        </w:rPr>
        <w:t>2018年，全国31个省份及兵团共检测了</w:t>
      </w:r>
      <w:r>
        <w:rPr>
          <w:rFonts w:hint="eastAsia" w:ascii="宋体" w:hAnsi="宋体" w:eastAsia="宋体"/>
          <w:color w:val="auto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/>
          <w:color w:val="auto"/>
          <w:szCs w:val="24"/>
          <w:highlight w:val="none"/>
          <w:lang w:val="en-US" w:eastAsia="zh-CN"/>
        </w:rPr>
        <w:t>790</w:t>
      </w:r>
      <w:r>
        <w:rPr>
          <w:rFonts w:hint="eastAsia" w:ascii="宋体" w:hAnsi="宋体" w:eastAsia="宋体"/>
          <w:color w:val="auto"/>
          <w:szCs w:val="24"/>
          <w:highlight w:val="none"/>
        </w:rPr>
        <w:t>个县的</w:t>
      </w:r>
      <w:r>
        <w:rPr>
          <w:rFonts w:hint="eastAsia" w:ascii="宋体" w:hAnsi="宋体" w:eastAsia="宋体"/>
          <w:color w:val="auto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/>
          <w:color w:val="auto"/>
          <w:szCs w:val="24"/>
          <w:highlight w:val="none"/>
          <w:lang w:val="en-US" w:eastAsia="zh-CN"/>
        </w:rPr>
        <w:t>76505</w:t>
      </w:r>
      <w:r>
        <w:rPr>
          <w:rFonts w:hint="eastAsia" w:ascii="宋体" w:hAnsi="宋体" w:eastAsia="宋体"/>
          <w:color w:val="auto"/>
          <w:szCs w:val="24"/>
          <w:highlight w:val="none"/>
        </w:rPr>
        <w:t>名孕妇随意一次尿碘含量，尿碘中位数为</w:t>
      </w:r>
      <w:r>
        <w:rPr>
          <w:rFonts w:hint="eastAsia" w:ascii="宋体" w:hAnsi="宋体" w:eastAsia="宋体"/>
          <w:color w:val="auto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/>
          <w:color w:val="auto"/>
          <w:szCs w:val="24"/>
          <w:highlight w:val="none"/>
          <w:lang w:val="en-US" w:eastAsia="zh-CN"/>
        </w:rPr>
        <w:t>69.4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g/L，总体处于碘营养适宜范围内。</w:t>
      </w:r>
      <w:r>
        <w:rPr>
          <w:rFonts w:hint="eastAsia" w:ascii="宋体" w:hAnsi="宋体" w:eastAsia="宋体"/>
          <w:color w:val="auto"/>
          <w:szCs w:val="24"/>
          <w:highlight w:val="none"/>
        </w:rPr>
        <w:t>以省级为单位结果显示，新疆孕妇尿碘中位数最高，为199.9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g/L，海南孕妇尿碘中位数最低，为132.4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g/L。全国有7个省份尿碘中位数介于100~149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g/L之间；24个省份及兵团尿碘中位数介于150~249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g/L之间，见表1、表4。</w:t>
      </w:r>
      <w:r>
        <w:rPr>
          <w:rFonts w:hint="eastAsia" w:ascii="宋体" w:hAnsi="宋体" w:eastAsia="宋体"/>
          <w:sz w:val="24"/>
          <w:szCs w:val="24"/>
          <w:highlight w:val="none"/>
        </w:rPr>
        <w:t>见表2。</w:t>
      </w:r>
    </w:p>
    <w:p>
      <w:pPr>
        <w:tabs>
          <w:tab w:val="left" w:pos="3240"/>
        </w:tabs>
        <w:spacing w:beforeLines="0" w:line="360" w:lineRule="auto"/>
        <w:jc w:val="center"/>
        <w:rPr>
          <w:rFonts w:ascii="宋体" w:hAnsi="宋体" w:eastAsia="宋体"/>
          <w:b/>
          <w:bCs/>
          <w:szCs w:val="21"/>
          <w:highlight w:val="none"/>
        </w:rPr>
      </w:pPr>
      <w:r>
        <w:rPr>
          <w:rFonts w:ascii="宋体" w:hAnsi="宋体" w:eastAsia="宋体"/>
          <w:b/>
          <w:bCs/>
          <w:szCs w:val="21"/>
          <w:highlight w:val="none"/>
        </w:rPr>
        <w:t>表</w:t>
      </w:r>
      <w:r>
        <w:rPr>
          <w:rFonts w:hint="eastAsia" w:ascii="宋体" w:hAnsi="宋体" w:eastAsia="宋体"/>
          <w:b/>
          <w:bCs/>
          <w:szCs w:val="21"/>
          <w:highlight w:val="none"/>
        </w:rPr>
        <w:t xml:space="preserve">2  </w:t>
      </w:r>
      <w:r>
        <w:rPr>
          <w:rFonts w:ascii="宋体" w:hAnsi="宋体" w:eastAsia="宋体"/>
          <w:b/>
          <w:bCs/>
          <w:szCs w:val="21"/>
          <w:highlight w:val="none"/>
        </w:rPr>
        <w:t>201</w:t>
      </w:r>
      <w:r>
        <w:rPr>
          <w:rFonts w:hint="eastAsia" w:ascii="宋体" w:hAnsi="宋体" w:eastAsia="宋体"/>
          <w:b/>
          <w:bCs/>
          <w:szCs w:val="21"/>
          <w:highlight w:val="none"/>
          <w:lang w:val="en-US" w:eastAsia="zh-CN"/>
        </w:rPr>
        <w:t>9</w:t>
      </w:r>
      <w:r>
        <w:rPr>
          <w:rFonts w:ascii="宋体" w:hAnsi="宋体" w:eastAsia="宋体"/>
          <w:b/>
          <w:bCs/>
          <w:szCs w:val="21"/>
          <w:highlight w:val="none"/>
        </w:rPr>
        <w:t>年全国各省份及兵团孕妇尿碘中位数分类</w:t>
      </w:r>
    </w:p>
    <w:tbl>
      <w:tblPr>
        <w:tblW w:w="8208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6525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68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尿碘中位数</w:t>
            </w:r>
          </w:p>
        </w:tc>
        <w:tc>
          <w:tcPr>
            <w:tcW w:w="6525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省份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83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100～149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sym w:font="Symbol" w:char="F06D"/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g/L</w:t>
            </w:r>
          </w:p>
        </w:tc>
        <w:tc>
          <w:tcPr>
            <w:tcW w:w="6525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napToGrid w:val="0"/>
              <w:spacing w:beforeLines="50" w:line="360" w:lineRule="auto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浙江、福建、西藏、广西、上海、辽宁、海南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683" w:type="dxa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150～249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sym w:font="Symbol" w:char="F06D"/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g/L</w:t>
            </w:r>
          </w:p>
        </w:tc>
        <w:tc>
          <w:tcPr>
            <w:tcW w:w="6525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广东、北京、山东、江苏、青海、吉林、贵州、天津、云南、四川、河北、内蒙古、江西、重庆、宁夏、兵团、甘肃、湖北、湖南、陕西、黑龙江、山西、安徽、河南、新疆</w:t>
            </w:r>
          </w:p>
        </w:tc>
      </w:tr>
    </w:tbl>
    <w:p>
      <w:pPr>
        <w:pStyle w:val="11"/>
        <w:spacing w:beforeLines="0" w:line="360" w:lineRule="auto"/>
        <w:ind w:firstLine="480" w:firstLineChars="0"/>
        <w:rPr>
          <w:rFonts w:hint="eastAsia" w:ascii="宋体" w:hAnsi="宋体" w:eastAsia="宋体"/>
          <w:color w:val="auto"/>
          <w:szCs w:val="24"/>
          <w:highlight w:val="none"/>
        </w:rPr>
      </w:pPr>
      <w:r>
        <w:rPr>
          <w:rFonts w:hint="eastAsia" w:ascii="宋体" w:hAnsi="宋体" w:eastAsia="宋体"/>
          <w:color w:val="auto"/>
          <w:szCs w:val="24"/>
          <w:highlight w:val="none"/>
        </w:rPr>
        <w:t>以县级为单位，全国2790个县中，</w:t>
      </w:r>
      <w:r>
        <w:rPr>
          <w:rFonts w:hint="eastAsia" w:ascii="宋体" w:hAnsi="宋体" w:eastAsia="宋体"/>
          <w:color w:val="auto"/>
          <w:szCs w:val="24"/>
          <w:highlight w:val="none"/>
          <w:lang w:val="en-US" w:eastAsia="zh-CN"/>
        </w:rPr>
        <w:t>有</w:t>
      </w:r>
      <w:r>
        <w:rPr>
          <w:rFonts w:hint="eastAsia" w:ascii="宋体" w:hAnsi="宋体" w:eastAsia="宋体"/>
          <w:color w:val="auto"/>
          <w:szCs w:val="24"/>
          <w:highlight w:val="none"/>
        </w:rPr>
        <w:t>48个县孕妇尿碘中位数小于100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g/L，795个县孕妇尿碘中位数处于100~149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g/L之间，1821个县孕妇尿碘处于150~249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g/L之间，125个县尿碘中位数处于250~499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F06D"/>
      </w:r>
      <w:r>
        <w:rPr>
          <w:rFonts w:hint="eastAsia" w:ascii="宋体" w:hAnsi="宋体" w:eastAsia="宋体"/>
          <w:color w:val="auto"/>
          <w:szCs w:val="24"/>
          <w:highlight w:val="none"/>
        </w:rPr>
        <w:t>g/L之间，1个县尿碘中位数大于500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g/L，分别占监测总县数的1.7%、28.5%、65.3%、4.5%和0.0%。孕妇尿碘中位数小于100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F06D"/>
      </w:r>
      <w:r>
        <w:rPr>
          <w:rFonts w:hint="eastAsia" w:ascii="宋体" w:hAnsi="宋体" w:eastAsia="宋体"/>
          <w:color w:val="auto"/>
          <w:szCs w:val="24"/>
          <w:highlight w:val="none"/>
        </w:rPr>
        <w:t>g/L的48个县分布于西藏（10个，占本省监测总县数的21.7%）、福建（5个，占6.0%）、北京（1个，占6.3%）和上海（1个，占6.3%）等；孕妇尿碘中位数大于500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F06D"/>
      </w:r>
      <w:r>
        <w:rPr>
          <w:rFonts w:hint="eastAsia" w:ascii="宋体" w:hAnsi="宋体" w:eastAsia="宋体"/>
          <w:color w:val="auto"/>
          <w:szCs w:val="24"/>
          <w:highlight w:val="none"/>
        </w:rPr>
        <w:t>g/L的1个县为湖北省恩施土家族苗族自治州咸丰县（579.0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g/L）。</w:t>
      </w:r>
    </w:p>
    <w:p>
      <w:pPr>
        <w:spacing w:beforeLines="0"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（3）8～10岁儿童甲肿率</w:t>
      </w:r>
    </w:p>
    <w:p>
      <w:pPr>
        <w:pStyle w:val="11"/>
        <w:spacing w:beforeLines="0" w:line="360" w:lineRule="auto"/>
        <w:ind w:firstLine="468" w:firstLineChars="195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000000"/>
          <w:szCs w:val="24"/>
          <w:highlight w:val="none"/>
        </w:rPr>
        <w:t>2019年，全国监测甲状腺容积的30个省份</w:t>
      </w:r>
      <w:r>
        <w:rPr>
          <w:rFonts w:hint="eastAsia" w:ascii="宋体" w:hAnsi="宋体" w:eastAsia="宋体"/>
          <w:color w:val="000000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/>
          <w:color w:val="000000"/>
          <w:szCs w:val="24"/>
          <w:highlight w:val="none"/>
        </w:rPr>
        <w:t>兵团8~10岁儿童总甲肿率为1.5%，全国30个省份和兵团儿童甲肿率均在5%以下</w:t>
      </w:r>
      <w:r>
        <w:rPr>
          <w:rFonts w:hint="eastAsia" w:ascii="宋体" w:hAnsi="宋体" w:eastAsia="宋体"/>
          <w:color w:val="000000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/>
          <w:color w:val="000000"/>
          <w:szCs w:val="24"/>
          <w:highlight w:val="none"/>
        </w:rPr>
        <w:t>全国共检测了1580个县儿童甲状腺容积，其中8个县儿童甲肿率大于等于5%，占监测总县数的0.51%。在8个甲肿率大于等于5%的县中，其中5个县甲肿率大于5%小于10%，3个县甲肿率大于等于10%小于20%。甲肿率大于等于5%的县分布于北京（3个）、安徽（3个）、山东（1个）和西藏（1个）。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见表3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。</w:t>
      </w:r>
    </w:p>
    <w:p>
      <w:pPr>
        <w:tabs>
          <w:tab w:val="left" w:pos="3240"/>
        </w:tabs>
        <w:spacing w:before="0" w:line="360" w:lineRule="auto"/>
        <w:jc w:val="center"/>
        <w:rPr>
          <w:rFonts w:ascii="宋体" w:hAnsi="宋体" w:eastAsia="宋体"/>
          <w:b/>
          <w:bCs/>
          <w:sz w:val="21"/>
          <w:szCs w:val="21"/>
          <w:highlight w:val="none"/>
        </w:rPr>
      </w:pPr>
      <w:r>
        <w:rPr>
          <w:rFonts w:ascii="宋体" w:hAnsi="宋体" w:eastAsia="宋体"/>
          <w:b/>
          <w:bCs/>
          <w:sz w:val="21"/>
          <w:szCs w:val="21"/>
          <w:highlight w:val="none"/>
        </w:rPr>
        <w:t>表</w:t>
      </w:r>
      <w:r>
        <w:rPr>
          <w:rFonts w:hint="eastAsia" w:ascii="宋体" w:hAnsi="宋体" w:eastAsia="宋体"/>
          <w:b/>
          <w:bCs/>
          <w:sz w:val="21"/>
          <w:szCs w:val="21"/>
          <w:highlight w:val="none"/>
          <w:lang w:eastAsia="zh-CN"/>
        </w:rPr>
        <w:t>3</w:t>
      </w:r>
      <w:r>
        <w:rPr>
          <w:rFonts w:ascii="宋体" w:hAnsi="宋体" w:eastAsia="宋体"/>
          <w:b/>
          <w:bCs/>
          <w:sz w:val="21"/>
          <w:szCs w:val="21"/>
          <w:highlight w:val="none"/>
        </w:rPr>
        <w:t xml:space="preserve"> 201</w:t>
      </w:r>
      <w:r>
        <w:rPr>
          <w:rFonts w:hint="eastAsia" w:ascii="宋体" w:hAnsi="宋体" w:eastAsia="宋体"/>
          <w:b/>
          <w:bCs/>
          <w:sz w:val="21"/>
          <w:szCs w:val="21"/>
          <w:highlight w:val="none"/>
          <w:lang w:eastAsia="zh-CN"/>
        </w:rPr>
        <w:t>9</w:t>
      </w:r>
      <w:r>
        <w:rPr>
          <w:rFonts w:ascii="宋体" w:hAnsi="宋体" w:eastAsia="宋体"/>
          <w:b/>
          <w:bCs/>
          <w:sz w:val="21"/>
          <w:szCs w:val="21"/>
          <w:highlight w:val="none"/>
        </w:rPr>
        <w:t>年全国各省份及兵团8~10岁儿童县级甲肿</w:t>
      </w:r>
      <w:r>
        <w:rPr>
          <w:rFonts w:hint="default" w:ascii="宋体" w:hAnsi="宋体" w:eastAsia="宋体"/>
          <w:b/>
          <w:bCs/>
          <w:sz w:val="21"/>
          <w:szCs w:val="21"/>
          <w:highlight w:val="none"/>
        </w:rPr>
        <w:t>率≥5%的县数</w:t>
      </w:r>
    </w:p>
    <w:tbl>
      <w:tblPr>
        <w:tblW w:w="7216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27"/>
        <w:gridCol w:w="687"/>
        <w:gridCol w:w="1252"/>
        <w:gridCol w:w="222"/>
        <w:gridCol w:w="621"/>
        <w:gridCol w:w="722"/>
        <w:gridCol w:w="621"/>
        <w:gridCol w:w="1243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省份</w:t>
            </w:r>
          </w:p>
        </w:tc>
        <w:tc>
          <w:tcPr>
            <w:tcW w:w="1027" w:type="dxa"/>
            <w:tcBorders>
              <w:top w:val="single" w:color="000000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监测</w:t>
            </w:r>
          </w:p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687" w:type="dxa"/>
            <w:tcBorders>
              <w:top w:val="single" w:color="000000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监测</w:t>
            </w:r>
          </w:p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县数</w:t>
            </w:r>
          </w:p>
        </w:tc>
        <w:tc>
          <w:tcPr>
            <w:tcW w:w="1252" w:type="dxa"/>
            <w:tcBorders>
              <w:top w:val="single" w:color="000000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甲肿率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≥</w:t>
            </w:r>
          </w:p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5%的县数</w:t>
            </w:r>
          </w:p>
        </w:tc>
        <w:tc>
          <w:tcPr>
            <w:tcW w:w="222" w:type="dxa"/>
            <w:tcBorders>
              <w:top w:val="single" w:color="000000" w:sz="8" w:space="0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省份</w:t>
            </w:r>
          </w:p>
        </w:tc>
        <w:tc>
          <w:tcPr>
            <w:tcW w:w="722" w:type="dxa"/>
            <w:tcBorders>
              <w:top w:val="single" w:color="000000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监测</w:t>
            </w:r>
          </w:p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621" w:type="dxa"/>
            <w:tcBorders>
              <w:top w:val="single" w:color="000000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监测</w:t>
            </w:r>
          </w:p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县数</w:t>
            </w:r>
          </w:p>
        </w:tc>
        <w:tc>
          <w:tcPr>
            <w:tcW w:w="1243" w:type="dxa"/>
            <w:tcBorders>
              <w:top w:val="single" w:color="000000" w:sz="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甲肿率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≥</w:t>
            </w:r>
          </w:p>
          <w:p>
            <w:pPr>
              <w:spacing w:line="240" w:lineRule="auto"/>
              <w:jc w:val="center"/>
              <w:outlineLvl w:val="1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5%的县数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2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3356</w:t>
            </w:r>
          </w:p>
        </w:tc>
        <w:tc>
          <w:tcPr>
            <w:tcW w:w="687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52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" w:type="dxa"/>
            <w:tcBorders>
              <w:top w:val="nil"/>
            </w:tcBorders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湖北</w:t>
            </w: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621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43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3419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湖南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8225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河北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14483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广东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14630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山西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8058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广西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7829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内蒙古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7758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海南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2226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辽宁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20211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2719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吉林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8003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四川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12429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黑龙江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19324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贵州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4833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--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云南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10488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西藏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10306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浙江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6449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陕西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8191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安徽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20566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甘肃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8269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福建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17273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青海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8089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江西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7803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宁夏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山东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10113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新疆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19022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河南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15154</w:t>
            </w:r>
          </w:p>
        </w:tc>
        <w:tc>
          <w:tcPr>
            <w:tcW w:w="687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52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dxa"/>
            <w:vAlign w:val="center"/>
          </w:tcPr>
          <w:p>
            <w:pPr>
              <w:spacing w:line="300" w:lineRule="auto"/>
              <w:jc w:val="center"/>
              <w:outlineLvl w:val="1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兵团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2604</w:t>
            </w:r>
          </w:p>
        </w:tc>
        <w:tc>
          <w:tcPr>
            <w:tcW w:w="621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3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spacing w:beforeLines="0"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highlight w:val="yellow"/>
        </w:rPr>
      </w:pPr>
    </w:p>
    <w:p>
      <w:pPr>
        <w:pStyle w:val="11"/>
        <w:spacing w:beforeLines="0" w:line="360" w:lineRule="auto"/>
        <w:ind w:firstLine="468" w:firstLineChars="195"/>
        <w:outlineLvl w:val="9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（4）碘盐结果</w:t>
      </w:r>
    </w:p>
    <w:p>
      <w:pPr>
        <w:pStyle w:val="11"/>
        <w:spacing w:line="360" w:lineRule="auto"/>
        <w:ind w:right="-68" w:firstLine="468" w:firstLineChars="195"/>
        <w:rPr>
          <w:rFonts w:hint="eastAsia" w:ascii="宋体" w:hAnsi="宋体" w:eastAsia="宋体"/>
          <w:color w:val="000000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000000"/>
          <w:szCs w:val="24"/>
          <w:highlight w:val="none"/>
        </w:rPr>
        <w:t>2019年，全国31个省份及兵团共检测了2814个县的836446份盐样，其中559434份儿童家中盐样，277012份孕妇家中盐样，见附表1。</w:t>
      </w:r>
    </w:p>
    <w:p>
      <w:pPr>
        <w:pStyle w:val="11"/>
        <w:spacing w:line="360" w:lineRule="auto"/>
        <w:ind w:right="-68" w:firstLine="468" w:firstLineChars="195"/>
        <w:rPr>
          <w:rFonts w:hint="eastAsia" w:ascii="宋体" w:hAnsi="宋体" w:eastAsia="宋体"/>
          <w:color w:val="000000"/>
          <w:szCs w:val="24"/>
          <w:highlight w:val="none"/>
        </w:rPr>
      </w:pPr>
      <w:r>
        <w:rPr>
          <w:rFonts w:hint="eastAsia" w:ascii="宋体" w:hAnsi="宋体" w:eastAsia="宋体"/>
          <w:color w:val="000000"/>
          <w:szCs w:val="24"/>
          <w:highlight w:val="none"/>
        </w:rPr>
        <w:t>2019年全国碘盐覆盖率为95.9%。上海最低，为71.3%；陕西、西藏最高，均为99.9%。31个省份及兵团中有24个省份及兵团碘盐覆盖率大于等于95%，福建和北京碘盐覆盖率介于90%~95%之间，上海、天津、浙江、山东和河北碘盐覆盖率小于90%。全国监测共发现未加碘食盐25701份，未加碘食盐占盐样总数的2.1%。未加碘食盐率大于5%的省份从高到低为上海（28.7%）、天津（25.0%）、浙江（14.3%）、山东（12.5%）、河北（10.2%）、北京（9.9%）和福建（5.7%）</w:t>
      </w:r>
      <w:r>
        <w:rPr>
          <w:rFonts w:hint="eastAsia" w:ascii="宋体" w:hAnsi="宋体" w:eastAsia="宋体"/>
          <w:color w:val="000000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/>
          <w:color w:val="000000"/>
          <w:szCs w:val="24"/>
          <w:highlight w:val="none"/>
        </w:rPr>
        <w:t>县级水平上，全国2814个县中，碘盐覆盖率大于等于95%的县共有2480个，占总数的88.1%，碘盐覆盖率小于95%的县有334个，占总数的11.9%。在碘盐覆盖率小于95%的334个县中有104个县碘盐覆盖率低于80%。</w:t>
      </w:r>
    </w:p>
    <w:p>
      <w:pPr>
        <w:pStyle w:val="11"/>
        <w:spacing w:line="360" w:lineRule="auto"/>
        <w:ind w:right="-68" w:firstLine="468" w:firstLineChars="195"/>
        <w:rPr>
          <w:rFonts w:hint="eastAsia" w:ascii="宋体" w:hAnsi="宋体" w:eastAsia="宋体"/>
          <w:color w:val="000000"/>
          <w:szCs w:val="24"/>
          <w:highlight w:val="none"/>
        </w:rPr>
      </w:pPr>
      <w:r>
        <w:rPr>
          <w:rFonts w:hint="eastAsia" w:ascii="宋体" w:hAnsi="宋体" w:eastAsia="宋体"/>
          <w:color w:val="000000"/>
          <w:szCs w:val="24"/>
          <w:highlight w:val="none"/>
        </w:rPr>
        <w:t>2019年全国合格碘盐食用率为90.2%。天津最低，为55.5%；陕西最高，为97.6%。31个省份及兵团中有22个省份及兵团合格碘盐食用率大于90%。合格碘盐食用率在90%及以下的省份分别是天津、上海、山东、浙江、北京、河北、河南、青海8个省份。县级水平上，全国2814个县中合格碘盐食用率小于等于90%的县有472个，占监测总县数的16.8%，其中有141个县合格碘盐食用率低于70%。</w:t>
      </w:r>
    </w:p>
    <w:p>
      <w:pPr>
        <w:spacing w:beforeLines="0"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3.主要结论</w:t>
      </w:r>
    </w:p>
    <w:p>
      <w:pPr>
        <w:pStyle w:val="11"/>
        <w:spacing w:before="0" w:after="0" w:line="360" w:lineRule="auto"/>
        <w:ind w:firstLine="480" w:firstLineChars="200"/>
        <w:rPr>
          <w:rFonts w:hint="eastAsia" w:ascii="宋体" w:hAnsi="宋体" w:eastAsia="宋体"/>
          <w:color w:val="auto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Cs w:val="24"/>
          <w:highlight w:val="none"/>
        </w:rPr>
        <w:t>2019年度全国8~10岁儿童尿碘中位数为207.1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g/L，孕妇尿碘中位数为169.4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g/L，8~10岁儿童甲肿率为1.5%，碘盐覆盖率为95.9%，合格碘盐食用率为90.2%，尿碘小于50</w:t>
      </w:r>
      <w:r>
        <w:rPr>
          <w:rFonts w:hint="eastAsia" w:ascii="宋体" w:hAnsi="宋体" w:eastAsia="宋体"/>
          <w:color w:val="auto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auto"/>
          <w:szCs w:val="24"/>
          <w:highlight w:val="none"/>
        </w:rPr>
        <w:t>g/L的比例为3.2%；表明我国自2005年以来碘缺乏病防治处于持续消除状态</w:t>
      </w:r>
      <w:r>
        <w:rPr>
          <w:rFonts w:hint="eastAsia" w:ascii="宋体" w:hAnsi="宋体" w:eastAsia="宋体"/>
          <w:color w:val="auto"/>
          <w:szCs w:val="24"/>
          <w:highlight w:val="none"/>
        </w:rPr>
        <w:t>。</w:t>
      </w:r>
    </w:p>
    <w:p>
      <w:pPr>
        <w:pStyle w:val="11"/>
        <w:spacing w:before="0" w:after="0" w:line="360" w:lineRule="auto"/>
        <w:ind w:firstLine="480" w:firstLineChars="200"/>
        <w:rPr>
          <w:rFonts w:hint="eastAsia" w:ascii="宋体" w:hAnsi="宋体" w:eastAsia="宋体"/>
          <w:color w:val="000000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000000"/>
          <w:szCs w:val="24"/>
          <w:highlight w:val="none"/>
        </w:rPr>
        <w:t>2019年度全国县级水平上，99.7%的县儿童尿碘中位数大于等于100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g/L；69.8%的县孕妇尿碘中位数大于等于150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g/L，98.3%的县孕妇尿碘中位数大于等于100</w:t>
      </w:r>
      <w:r>
        <w:rPr>
          <w:rFonts w:hint="eastAsia" w:ascii="宋体" w:hAnsi="宋体" w:eastAsia="宋体"/>
          <w:color w:val="000000"/>
          <w:szCs w:val="24"/>
          <w:highlight w:val="none"/>
        </w:rPr>
        <w:sym w:font="Symbol" w:char="006D"/>
      </w:r>
      <w:r>
        <w:rPr>
          <w:rFonts w:hint="eastAsia" w:ascii="宋体" w:hAnsi="宋体" w:eastAsia="宋体"/>
          <w:color w:val="000000"/>
          <w:szCs w:val="24"/>
          <w:highlight w:val="none"/>
        </w:rPr>
        <w:t>g/L；99.5%的县儿童甲肿率小于5%；88.1%的县碘盐覆盖率大于等于95%，83.2%的县合格碘盐食用率大于90%。</w:t>
      </w:r>
    </w:p>
    <w:p>
      <w:pPr>
        <w:spacing w:beforeLines="0"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二</w:t>
      </w:r>
      <w:r>
        <w:rPr>
          <w:rFonts w:hint="eastAsia" w:ascii="宋体" w:hAnsi="宋体"/>
          <w:b/>
          <w:color w:val="000000"/>
          <w:sz w:val="24"/>
        </w:rPr>
        <w:t>）水源性高碘地区监测</w:t>
      </w:r>
    </w:p>
    <w:p>
      <w:pPr>
        <w:pStyle w:val="11"/>
        <w:spacing w:beforeLines="0" w:line="360" w:lineRule="auto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1．项目完成情况</w:t>
      </w:r>
    </w:p>
    <w:p>
      <w:pPr>
        <w:pStyle w:val="11"/>
        <w:spacing w:beforeLines="0" w:line="360" w:lineRule="auto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201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在13个省的193个县开展了水源性高碘地区监测</w:t>
      </w:r>
      <w:r>
        <w:rPr>
          <w:rFonts w:hint="eastAsia" w:ascii="宋体" w:hAnsi="宋体" w:eastAsia="宋体"/>
          <w:szCs w:val="24"/>
        </w:rPr>
        <w:t>。</w:t>
      </w:r>
    </w:p>
    <w:p>
      <w:pPr>
        <w:pStyle w:val="11"/>
        <w:spacing w:beforeLines="0" w:line="360" w:lineRule="auto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2．主要结果</w:t>
      </w:r>
    </w:p>
    <w:p>
      <w:pPr>
        <w:pStyle w:val="11"/>
        <w:spacing w:before="0" w:line="360" w:lineRule="auto"/>
        <w:ind w:firstLine="480" w:firstLineChars="200"/>
        <w:rPr>
          <w:rFonts w:hint="eastAsia" w:ascii="宋体" w:hAnsi="宋体" w:eastAsia="宋体"/>
          <w:b w:val="0"/>
          <w:color w:val="000000"/>
          <w:sz w:val="24"/>
          <w:szCs w:val="24"/>
        </w:rPr>
      </w:pPr>
      <w:r>
        <w:rPr>
          <w:rFonts w:hint="eastAsia" w:ascii="宋体" w:hAnsi="宋体" w:eastAsia="宋体"/>
          <w:b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 w:val="0"/>
          <w:color w:val="000000"/>
          <w:sz w:val="24"/>
          <w:szCs w:val="24"/>
        </w:rPr>
        <w:t>生活饮用水水碘</w:t>
      </w:r>
    </w:p>
    <w:p>
      <w:pPr>
        <w:pStyle w:val="11"/>
        <w:spacing w:beforeLines="0" w:line="360" w:lineRule="auto"/>
        <w:ind w:firstLine="480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201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年应以水碘中位数大于100μg/L的行政村为监测点，采用系统抽样方法开展监测工作。在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24"/>
          <w:szCs w:val="24"/>
        </w:rPr>
        <w:t>个省份19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4"/>
          <w:szCs w:val="24"/>
        </w:rPr>
        <w:t>个县的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1231</w:t>
      </w:r>
      <w:r>
        <w:rPr>
          <w:rFonts w:hint="eastAsia" w:ascii="宋体" w:hAnsi="宋体" w:eastAsia="宋体"/>
          <w:color w:val="auto"/>
          <w:sz w:val="24"/>
          <w:szCs w:val="24"/>
        </w:rPr>
        <w:t>个监测点检测了水样，其中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1081</w:t>
      </w:r>
      <w:r>
        <w:rPr>
          <w:rFonts w:hint="eastAsia" w:ascii="宋体" w:hAnsi="宋体" w:eastAsia="宋体"/>
          <w:color w:val="auto"/>
          <w:sz w:val="24"/>
          <w:szCs w:val="24"/>
        </w:rPr>
        <w:t>个监测点为集中供水，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150</w:t>
      </w:r>
      <w:r>
        <w:rPr>
          <w:rFonts w:hint="eastAsia" w:ascii="宋体" w:hAnsi="宋体" w:eastAsia="宋体"/>
          <w:color w:val="auto"/>
          <w:sz w:val="24"/>
          <w:szCs w:val="24"/>
        </w:rPr>
        <w:t>个监测点是分散式供水。监测结果显示，</w:t>
      </w:r>
      <w:r>
        <w:rPr>
          <w:rFonts w:hint="eastAsia" w:ascii="宋体" w:hAnsi="宋体" w:eastAsia="宋体"/>
          <w:color w:val="auto"/>
          <w:sz w:val="24"/>
          <w:szCs w:val="24"/>
        </w:rPr>
        <w:t>有88个监测点水碘低于10μg/L，占7.1%，其中3个监测点为分散供水；114个监测点水碘在10～39.9μg/L之间，占9.3%，其中10个监测点为分散供水；190个监测点水碘在40～100μg/L之间，占15.4%，其中29个监测点为分散供水；308个监测点水碘在100.1～149.9μg/L之间，占25.0%，其中43个监测点为分散供水；334个监测点水碘在150～300μg/L之间，占27.1%，其中45个监测点为分散供水；197个监测点水碘在300μg/L以上，占16.0%，其中20个监测点为分散供水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。</w:t>
      </w:r>
    </w:p>
    <w:p>
      <w:pPr>
        <w:pStyle w:val="11"/>
        <w:spacing w:beforeLines="0"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1231个监测点水样的水碘中位数为135.6μg/L，有839个监测点水碘在100μg/L以上，所占比例为68.2%，包括731个集中式供水监测点和108个分散式供水监测点。山西省水碘中位数最高，为239.2μg/L。在全部监测点中，水碘中位数最高为2020.4μg/L。见表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>
      <w:pPr>
        <w:ind w:firstLine="422" w:firstLineChars="200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>表</w:t>
      </w:r>
      <w:r>
        <w:rPr>
          <w:rFonts w:hint="eastAsia"/>
          <w:b/>
          <w:color w:val="000000"/>
          <w:szCs w:val="21"/>
          <w:lang w:val="en-US" w:eastAsia="zh-CN"/>
        </w:rPr>
        <w:t>4</w:t>
      </w:r>
      <w:r>
        <w:rPr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各省监测点</w:t>
      </w:r>
      <w:r>
        <w:rPr>
          <w:rFonts w:hint="eastAsia"/>
          <w:b/>
          <w:color w:val="000000"/>
          <w:szCs w:val="21"/>
          <w:lang w:val="en-US" w:eastAsia="zh-CN"/>
        </w:rPr>
        <w:t>常住</w:t>
      </w:r>
      <w:r>
        <w:rPr>
          <w:rFonts w:hint="eastAsia"/>
          <w:b/>
          <w:color w:val="000000"/>
          <w:szCs w:val="21"/>
        </w:rPr>
        <w:t>人口数及水碘中位数</w:t>
      </w:r>
    </w:p>
    <w:tbl>
      <w:tblPr>
        <w:tblW w:w="8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78"/>
        <w:gridCol w:w="777"/>
        <w:gridCol w:w="466"/>
        <w:gridCol w:w="465"/>
        <w:gridCol w:w="186"/>
        <w:gridCol w:w="728"/>
        <w:gridCol w:w="728"/>
        <w:gridCol w:w="728"/>
        <w:gridCol w:w="728"/>
        <w:gridCol w:w="728"/>
        <w:gridCol w:w="728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vMerge w:val="restart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省份</w:t>
            </w:r>
          </w:p>
        </w:tc>
        <w:tc>
          <w:tcPr>
            <w:tcW w:w="778" w:type="dxa"/>
            <w:vMerge w:val="restart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常住</w:t>
            </w:r>
          </w:p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人口</w:t>
            </w:r>
          </w:p>
        </w:tc>
        <w:tc>
          <w:tcPr>
            <w:tcW w:w="1708" w:type="dxa"/>
            <w:gridSpan w:val="3"/>
            <w:tcBorders>
              <w:top w:val="single" w:color="auto" w:sz="8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监测点供水方式</w:t>
            </w:r>
          </w:p>
        </w:tc>
        <w:tc>
          <w:tcPr>
            <w:tcW w:w="186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gridSpan w:val="7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监测点水碘中位数（μg/L）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监测点</w:t>
            </w:r>
          </w:p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集</w:t>
            </w:r>
          </w:p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</w:p>
        </w:tc>
        <w:tc>
          <w:tcPr>
            <w:tcW w:w="46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分</w:t>
            </w:r>
          </w:p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散</w:t>
            </w:r>
          </w:p>
        </w:tc>
        <w:tc>
          <w:tcPr>
            <w:tcW w:w="18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中位数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100.1</w:t>
            </w: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150～</w:t>
            </w:r>
          </w:p>
        </w:tc>
        <w:tc>
          <w:tcPr>
            <w:tcW w:w="734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300.1</w:t>
            </w:r>
            <w:r>
              <w:rPr>
                <w:color w:val="000000"/>
                <w:sz w:val="18"/>
                <w:szCs w:val="18"/>
              </w:rPr>
              <w:t>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77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64048</w:t>
            </w:r>
          </w:p>
        </w:tc>
        <w:tc>
          <w:tcPr>
            <w:tcW w:w="777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5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72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72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72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72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199.6</w:t>
            </w:r>
          </w:p>
        </w:tc>
        <w:tc>
          <w:tcPr>
            <w:tcW w:w="734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431.0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273022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155.3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191.1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山西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560301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239.2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231.7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内蒙古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96290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190.3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辽宁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2244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黑龙江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6872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58.4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108273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180.1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安徽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470624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182.8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江西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136.1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山东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543105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132.4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176.7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440.0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481758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175.8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6706</w:t>
            </w:r>
          </w:p>
        </w:tc>
        <w:tc>
          <w:tcPr>
            <w:tcW w:w="77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72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陕西</w:t>
            </w:r>
          </w:p>
        </w:tc>
        <w:tc>
          <w:tcPr>
            <w:tcW w:w="77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31392</w:t>
            </w:r>
          </w:p>
        </w:tc>
        <w:tc>
          <w:tcPr>
            <w:tcW w:w="77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2650935</w:t>
            </w:r>
          </w:p>
        </w:tc>
        <w:tc>
          <w:tcPr>
            <w:tcW w:w="777" w:type="dxa"/>
            <w:tcBorders>
              <w:top w:val="single" w:color="auto" w:sz="4" w:space="0"/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466" w:type="dxa"/>
            <w:tcBorders>
              <w:top w:val="single" w:color="auto" w:sz="4" w:space="0"/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465" w:type="dxa"/>
            <w:tcBorders>
              <w:top w:val="single" w:color="auto" w:sz="4" w:space="0"/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6" w:type="dxa"/>
            <w:tcBorders>
              <w:top w:val="single" w:color="auto" w:sz="4" w:space="0"/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135.6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734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402.3</w:t>
            </w:r>
          </w:p>
        </w:tc>
      </w:tr>
    </w:tbl>
    <w:p>
      <w:pPr>
        <w:pStyle w:val="11"/>
        <w:spacing w:before="0" w:line="360" w:lineRule="auto"/>
        <w:ind w:firstLine="480" w:firstLineChars="200"/>
        <w:rPr>
          <w:rFonts w:hint="eastAsia" w:ascii="宋体" w:hAnsi="宋体" w:eastAsia="宋体"/>
          <w:b w:val="0"/>
          <w:color w:val="000000"/>
          <w:sz w:val="24"/>
          <w:szCs w:val="24"/>
        </w:rPr>
      </w:pPr>
      <w:r>
        <w:rPr>
          <w:rFonts w:hint="eastAsia" w:ascii="宋体" w:hAnsi="宋体" w:eastAsia="宋体"/>
          <w:b w:val="0"/>
          <w:color w:val="000000"/>
          <w:sz w:val="24"/>
          <w:szCs w:val="24"/>
        </w:rPr>
        <w:t>（</w:t>
      </w:r>
      <w:r>
        <w:rPr>
          <w:rFonts w:hint="eastAsia" w:ascii="宋体" w:hAnsi="宋体" w:eastAsia="宋体"/>
          <w:b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 w:val="0"/>
          <w:color w:val="000000"/>
          <w:sz w:val="24"/>
          <w:szCs w:val="24"/>
        </w:rPr>
        <w:t>）儿童家庭中食用盐</w:t>
      </w:r>
    </w:p>
    <w:p>
      <w:pPr>
        <w:pStyle w:val="11"/>
        <w:spacing w:beforeLines="0"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在13个省份的197个高水碘县共检测儿童家中食用盐样品44036份。将食用盐样品分成两部分。一部分是原8个监测省份134个县高碘地区食用盐样品，共计26924份；其中，未加碘食盐为17431份，未加碘食盐率为64.7%。从省级水平分析，陕西和江苏未加碘食盐率较高，分别为96.7%和96.3%，其他各省份未加碘食盐率均在90%以下，天津、山西、安徽和河南较低，在70.0%以下。另一部分是2017年全国生活饮用水水碘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含量</w:t>
      </w:r>
      <w:r>
        <w:rPr>
          <w:rFonts w:hint="eastAsia" w:ascii="宋体" w:hAnsi="宋体" w:eastAsia="宋体"/>
          <w:color w:val="000000"/>
          <w:sz w:val="24"/>
          <w:szCs w:val="24"/>
        </w:rPr>
        <w:t>调查新发现的高碘地区食用盐样品，共计17112份，采自12个省份96个县的高碘村儿童家中食用盐；其中，未加碘食盐为4119份，未加碘食盐率为24.1%；除江苏外，各省未加碘食盐率均在90.0%以下；新加入监测的内蒙古、辽宁、黑龙江、江西和湖南5个省，未加碘食盐率分别为0%、3.0%、0%、0%和0.4%。</w:t>
      </w:r>
    </w:p>
    <w:p>
      <w:pPr>
        <w:pStyle w:val="11"/>
        <w:spacing w:before="0" w:line="360" w:lineRule="auto"/>
        <w:ind w:firstLine="480" w:firstLineChars="200"/>
        <w:rPr>
          <w:rFonts w:hint="eastAsia" w:ascii="宋体" w:hAnsi="宋体" w:eastAsia="宋体"/>
          <w:b w:val="0"/>
          <w:color w:val="000000"/>
          <w:sz w:val="24"/>
          <w:szCs w:val="24"/>
        </w:rPr>
      </w:pPr>
      <w:r>
        <w:rPr>
          <w:rFonts w:hint="eastAsia" w:ascii="宋体" w:hAnsi="宋体" w:eastAsia="宋体"/>
          <w:b w:val="0"/>
          <w:color w:val="000000"/>
          <w:sz w:val="24"/>
          <w:szCs w:val="24"/>
        </w:rPr>
        <w:t>（</w:t>
      </w:r>
      <w:r>
        <w:rPr>
          <w:rFonts w:hint="eastAsia" w:ascii="宋体" w:hAnsi="宋体" w:eastAsia="宋体"/>
          <w:b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 w:val="0"/>
          <w:color w:val="000000"/>
          <w:sz w:val="24"/>
          <w:szCs w:val="24"/>
        </w:rPr>
        <w:t>）儿童尿碘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13</w:t>
      </w:r>
      <w:r>
        <w:rPr>
          <w:color w:val="000000"/>
          <w:sz w:val="24"/>
        </w:rPr>
        <w:t>个省份共</w:t>
      </w:r>
      <w:r>
        <w:rPr>
          <w:rFonts w:hint="eastAsia"/>
          <w:color w:val="000000"/>
          <w:sz w:val="24"/>
          <w:lang w:val="en-US" w:eastAsia="zh-CN"/>
        </w:rPr>
        <w:t>检测</w:t>
      </w:r>
      <w:r>
        <w:rPr>
          <w:color w:val="000000"/>
          <w:sz w:val="24"/>
        </w:rPr>
        <w:t>了</w:t>
      </w:r>
      <w:r>
        <w:rPr>
          <w:rFonts w:hint="eastAsia"/>
          <w:color w:val="000000"/>
          <w:sz w:val="24"/>
        </w:rPr>
        <w:t>43841</w:t>
      </w:r>
      <w:r>
        <w:rPr>
          <w:color w:val="000000"/>
          <w:sz w:val="24"/>
        </w:rPr>
        <w:t>名儿童的尿碘，尿碘中位数为</w:t>
      </w:r>
      <w:r>
        <w:rPr>
          <w:rFonts w:hint="eastAsia"/>
          <w:color w:val="000000"/>
          <w:sz w:val="24"/>
        </w:rPr>
        <w:t>343.1</w:t>
      </w:r>
      <w:r>
        <w:rPr>
          <w:color w:val="000000"/>
          <w:sz w:val="24"/>
        </w:rPr>
        <w:t>μg/L。在</w:t>
      </w:r>
      <w:r>
        <w:rPr>
          <w:rFonts w:hint="eastAsia"/>
          <w:color w:val="000000"/>
          <w:sz w:val="24"/>
        </w:rPr>
        <w:t>省级水平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河北、山西、内蒙古、江苏、安徽和河南6个省</w:t>
      </w:r>
      <w:r>
        <w:rPr>
          <w:color w:val="000000"/>
          <w:sz w:val="24"/>
        </w:rPr>
        <w:t>儿童尿碘中位数均超过300μg/L，处于碘过量水平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其中</w:t>
      </w:r>
      <w:r>
        <w:rPr>
          <w:rFonts w:hint="eastAsia"/>
          <w:color w:val="000000"/>
          <w:sz w:val="24"/>
        </w:rPr>
        <w:t>山西</w:t>
      </w:r>
      <w:r>
        <w:rPr>
          <w:color w:val="000000"/>
          <w:sz w:val="24"/>
        </w:rPr>
        <w:t>儿童尿碘中位数</w:t>
      </w:r>
      <w:r>
        <w:rPr>
          <w:rFonts w:hint="eastAsia"/>
          <w:color w:val="000000"/>
          <w:sz w:val="24"/>
        </w:rPr>
        <w:t>最高，为485.3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  <w:lang w:eastAsia="zh-CN"/>
        </w:rPr>
        <w:t>。</w:t>
      </w:r>
      <w:r>
        <w:rPr>
          <w:rFonts w:hint="eastAsia"/>
          <w:color w:val="000000"/>
          <w:sz w:val="24"/>
        </w:rPr>
        <w:t>天津、辽宁、江西、山东和湖南5个省儿童尿碘中位数处于</w:t>
      </w:r>
      <w:r>
        <w:rPr>
          <w:color w:val="000000"/>
          <w:sz w:val="24"/>
        </w:rPr>
        <w:t>大于适宜量水平</w:t>
      </w:r>
      <w:r>
        <w:rPr>
          <w:rFonts w:hint="eastAsia"/>
          <w:color w:val="000000"/>
          <w:sz w:val="24"/>
          <w:lang w:eastAsia="zh-CN"/>
        </w:rPr>
        <w:t>。</w:t>
      </w:r>
      <w:r>
        <w:rPr>
          <w:rFonts w:hint="eastAsia"/>
          <w:color w:val="000000"/>
          <w:sz w:val="24"/>
        </w:rPr>
        <w:t>黑龙江和陕西儿童尿碘中位数处于适宜水平。按实际监测水碘中位数分组，水碘在100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及以下地区、100.1</w:t>
      </w:r>
      <w:r>
        <w:rPr>
          <w:color w:val="000000"/>
          <w:sz w:val="24"/>
        </w:rPr>
        <w:t>～</w:t>
      </w:r>
      <w:r>
        <w:rPr>
          <w:rFonts w:hint="eastAsia"/>
          <w:color w:val="000000"/>
          <w:sz w:val="24"/>
        </w:rPr>
        <w:t>149.9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地区、150</w:t>
      </w:r>
      <w:r>
        <w:rPr>
          <w:color w:val="000000"/>
          <w:sz w:val="24"/>
        </w:rPr>
        <w:t>～</w:t>
      </w:r>
      <w:r>
        <w:rPr>
          <w:rFonts w:hint="eastAsia"/>
          <w:color w:val="000000"/>
          <w:sz w:val="24"/>
        </w:rPr>
        <w:t>300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地区和300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以上地区，其儿童尿碘中位数分别为283.9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、320.9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、386.3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和606.0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，随着水碘中位数的增加，儿童尿碘中位数呈升高趋势。在水碘100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以上地区，除天津、江西和湖南（水碘100.1</w:t>
      </w:r>
      <w:r>
        <w:rPr>
          <w:color w:val="000000"/>
          <w:sz w:val="24"/>
        </w:rPr>
        <w:t>～</w:t>
      </w:r>
      <w:r>
        <w:rPr>
          <w:rFonts w:hint="eastAsia"/>
          <w:color w:val="000000"/>
          <w:sz w:val="24"/>
        </w:rPr>
        <w:t>149.9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地区）外，其他地区儿童尿碘中位数均在300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以上，其中山东和山西在水碘大于300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地区，儿童尿碘中位数高达893.7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和866.5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。</w:t>
      </w:r>
      <w:r>
        <w:rPr>
          <w:color w:val="000000"/>
          <w:sz w:val="24"/>
        </w:rPr>
        <w:t>从尿碘的频数分布可以看出，</w:t>
      </w:r>
      <w:r>
        <w:rPr>
          <w:rFonts w:hint="eastAsia"/>
          <w:color w:val="000000"/>
          <w:sz w:val="24"/>
        </w:rPr>
        <w:t>13个省份</w:t>
      </w:r>
      <w:r>
        <w:rPr>
          <w:color w:val="000000"/>
          <w:sz w:val="24"/>
        </w:rPr>
        <w:t>尿碘处于100～</w:t>
      </w:r>
      <w:r>
        <w:rPr>
          <w:rFonts w:hint="eastAsia"/>
          <w:color w:val="000000"/>
          <w:sz w:val="24"/>
        </w:rPr>
        <w:t>199</w:t>
      </w:r>
      <w:r>
        <w:rPr>
          <w:color w:val="000000"/>
          <w:sz w:val="24"/>
        </w:rPr>
        <w:t>μg/L的比例仅为</w:t>
      </w:r>
      <w:r>
        <w:rPr>
          <w:rFonts w:hint="eastAsia"/>
          <w:color w:val="000000"/>
          <w:sz w:val="24"/>
        </w:rPr>
        <w:t>16.8</w:t>
      </w:r>
      <w:r>
        <w:rPr>
          <w:color w:val="000000"/>
          <w:sz w:val="24"/>
        </w:rPr>
        <w:t>%，处于200～</w:t>
      </w:r>
      <w:r>
        <w:rPr>
          <w:rFonts w:hint="eastAsia"/>
          <w:color w:val="000000"/>
          <w:sz w:val="24"/>
        </w:rPr>
        <w:t>299</w:t>
      </w:r>
      <w:r>
        <w:rPr>
          <w:color w:val="000000"/>
          <w:sz w:val="24"/>
        </w:rPr>
        <w:t>μg/L的比例为</w:t>
      </w:r>
      <w:r>
        <w:rPr>
          <w:rFonts w:hint="eastAsia"/>
          <w:color w:val="000000"/>
          <w:sz w:val="24"/>
        </w:rPr>
        <w:t>19.7</w:t>
      </w:r>
      <w:r>
        <w:rPr>
          <w:color w:val="000000"/>
          <w:sz w:val="24"/>
        </w:rPr>
        <w:t>%，处于大于</w:t>
      </w:r>
      <w:r>
        <w:rPr>
          <w:rFonts w:hint="eastAsia"/>
          <w:color w:val="000000"/>
          <w:sz w:val="24"/>
        </w:rPr>
        <w:t>或等于</w:t>
      </w:r>
      <w:r>
        <w:rPr>
          <w:color w:val="000000"/>
          <w:sz w:val="24"/>
        </w:rPr>
        <w:t>300μg/L的比例高达</w:t>
      </w:r>
      <w:r>
        <w:rPr>
          <w:rFonts w:hint="eastAsia"/>
          <w:color w:val="000000"/>
          <w:sz w:val="24"/>
        </w:rPr>
        <w:t>58.3</w:t>
      </w:r>
      <w:r>
        <w:rPr>
          <w:color w:val="000000"/>
          <w:sz w:val="24"/>
        </w:rPr>
        <w:t>%。</w:t>
      </w:r>
      <w:r>
        <w:rPr>
          <w:rFonts w:hint="eastAsia"/>
          <w:color w:val="000000"/>
          <w:sz w:val="24"/>
        </w:rPr>
        <w:t>河北、山西、内蒙古、江苏、安徽和河南6个省儿童尿碘在</w:t>
      </w:r>
      <w:r>
        <w:rPr>
          <w:color w:val="000000"/>
          <w:sz w:val="24"/>
        </w:rPr>
        <w:t>300μg/L</w:t>
      </w:r>
      <w:r>
        <w:rPr>
          <w:rFonts w:hint="eastAsia"/>
          <w:color w:val="000000"/>
          <w:sz w:val="24"/>
        </w:rPr>
        <w:t>及以上比例在50.0%以上。</w:t>
      </w:r>
      <w:r>
        <w:rPr>
          <w:color w:val="000000"/>
          <w:sz w:val="24"/>
        </w:rPr>
        <w:t>见表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color w:val="000000"/>
          <w:sz w:val="24"/>
        </w:rPr>
        <w:t>。</w:t>
      </w:r>
    </w:p>
    <w:p>
      <w:pPr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Cs w:val="21"/>
        </w:rPr>
        <w:t>表</w:t>
      </w:r>
      <w:r>
        <w:rPr>
          <w:rFonts w:hint="eastAsia"/>
          <w:b/>
          <w:color w:val="000000"/>
          <w:szCs w:val="21"/>
          <w:lang w:val="en-US" w:eastAsia="zh-CN"/>
        </w:rPr>
        <w:t>5</w:t>
      </w:r>
      <w:r>
        <w:rPr>
          <w:b/>
          <w:color w:val="000000"/>
          <w:szCs w:val="21"/>
        </w:rPr>
        <w:t xml:space="preserve"> 水源性高碘地区儿童尿碘情况</w:t>
      </w:r>
    </w:p>
    <w:tbl>
      <w:tblPr>
        <w:tblW w:w="85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67"/>
        <w:gridCol w:w="709"/>
        <w:gridCol w:w="549"/>
        <w:gridCol w:w="727"/>
        <w:gridCol w:w="709"/>
        <w:gridCol w:w="567"/>
        <w:gridCol w:w="317"/>
        <w:gridCol w:w="425"/>
        <w:gridCol w:w="567"/>
        <w:gridCol w:w="567"/>
        <w:gridCol w:w="567"/>
        <w:gridCol w:w="567"/>
        <w:gridCol w:w="567"/>
        <w:gridCol w:w="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省份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样本量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尿碘</w:t>
            </w:r>
          </w:p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中位数（μg/L）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ind w:firstLine="720" w:firstLineChars="4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不同水碘地区</w:t>
            </w:r>
          </w:p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尿碘中位数（μg/L）</w:t>
            </w:r>
          </w:p>
        </w:tc>
        <w:tc>
          <w:tcPr>
            <w:tcW w:w="317" w:type="dxa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2" w:type="dxa"/>
            <w:gridSpan w:val="7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尿碘频数分布（%）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vMerge w:val="continue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≤</w:t>
            </w: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7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100.1</w:t>
            </w: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150～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&gt;300</w:t>
            </w:r>
          </w:p>
        </w:tc>
        <w:tc>
          <w:tcPr>
            <w:tcW w:w="31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0～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50～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100～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200～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300～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500～</w:t>
            </w:r>
          </w:p>
        </w:tc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709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262.0</w:t>
            </w:r>
          </w:p>
        </w:tc>
        <w:tc>
          <w:tcPr>
            <w:tcW w:w="549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189.9</w:t>
            </w:r>
          </w:p>
        </w:tc>
        <w:tc>
          <w:tcPr>
            <w:tcW w:w="727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276.5</w:t>
            </w:r>
          </w:p>
        </w:tc>
        <w:tc>
          <w:tcPr>
            <w:tcW w:w="709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331.2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601.5</w:t>
            </w:r>
          </w:p>
        </w:tc>
        <w:tc>
          <w:tcPr>
            <w:tcW w:w="317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562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6811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339.1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351.4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330.2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301.2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493.4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山西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9526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485.3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474.2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648.4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410.0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866.5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内蒙古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470.0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402.0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659.2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辽宁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256.4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256.4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黑龙江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39.7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410.0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362.0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409.6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477.2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768.0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安徽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4517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328.6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286.9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320.9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366.9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430.0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江西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214.7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215.7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201.4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山东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8795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238.5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395.8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379.2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893.7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9829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317.8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318.9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325.1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350.5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380.4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249.7</w:t>
            </w:r>
          </w:p>
        </w:tc>
        <w:tc>
          <w:tcPr>
            <w:tcW w:w="54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249.7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6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陕西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144.7</w:t>
            </w:r>
          </w:p>
        </w:tc>
        <w:tc>
          <w:tcPr>
            <w:tcW w:w="549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144.7</w:t>
            </w:r>
          </w:p>
        </w:tc>
        <w:tc>
          <w:tcPr>
            <w:tcW w:w="72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62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4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43841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343.1</w:t>
            </w:r>
          </w:p>
        </w:tc>
        <w:tc>
          <w:tcPr>
            <w:tcW w:w="549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283.9</w:t>
            </w:r>
          </w:p>
        </w:tc>
        <w:tc>
          <w:tcPr>
            <w:tcW w:w="727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320.9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386.3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87" w:type="dxa"/>
            </w:tcMar>
            <w:vAlign w:val="center"/>
          </w:tcPr>
          <w:p>
            <w:pPr>
              <w:snapToGrid w:val="0"/>
              <w:ind w:right="-212" w:rightChars="-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606.0</w:t>
            </w:r>
          </w:p>
        </w:tc>
        <w:tc>
          <w:tcPr>
            <w:tcW w:w="317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562" w:type="dxa"/>
            <w:tcBorders>
              <w:top w:val="single" w:color="auto" w:sz="4" w:space="0"/>
              <w:bottom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9.8</w:t>
            </w:r>
          </w:p>
        </w:tc>
      </w:tr>
    </w:tbl>
    <w:p>
      <w:pPr>
        <w:pStyle w:val="11"/>
        <w:spacing w:before="0" w:line="360" w:lineRule="auto"/>
        <w:ind w:firstLine="480" w:firstLineChars="200"/>
        <w:rPr>
          <w:rFonts w:hint="eastAsia" w:ascii="宋体" w:hAnsi="宋体" w:eastAsia="宋体"/>
          <w:b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color w:val="000000"/>
          <w:sz w:val="24"/>
          <w:szCs w:val="24"/>
        </w:rPr>
        <w:t>（</w:t>
      </w:r>
      <w:r>
        <w:rPr>
          <w:rFonts w:hint="eastAsia" w:ascii="宋体" w:hAnsi="宋体" w:eastAsia="宋体"/>
          <w:b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 w:val="0"/>
          <w:color w:val="000000"/>
          <w:sz w:val="24"/>
          <w:szCs w:val="24"/>
        </w:rPr>
        <w:t>）</w:t>
      </w:r>
      <w:r>
        <w:rPr>
          <w:rFonts w:hint="eastAsia" w:ascii="宋体" w:hAnsi="宋体" w:eastAsia="宋体"/>
          <w:b w:val="0"/>
          <w:color w:val="000000"/>
          <w:sz w:val="24"/>
          <w:szCs w:val="24"/>
          <w:lang w:val="en-US" w:eastAsia="zh-CN"/>
        </w:rPr>
        <w:t>孕妇尿碘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共</w:t>
      </w:r>
      <w:r>
        <w:rPr>
          <w:rFonts w:hint="eastAsia"/>
          <w:color w:val="000000"/>
          <w:sz w:val="24"/>
        </w:rPr>
        <w:t>检测</w:t>
      </w:r>
      <w:r>
        <w:rPr>
          <w:color w:val="000000"/>
          <w:sz w:val="24"/>
        </w:rPr>
        <w:t>了</w:t>
      </w:r>
      <w:r>
        <w:rPr>
          <w:rFonts w:hint="eastAsia"/>
          <w:color w:val="000000"/>
          <w:sz w:val="24"/>
        </w:rPr>
        <w:t>8835</w:t>
      </w:r>
      <w:r>
        <w:rPr>
          <w:color w:val="000000"/>
          <w:sz w:val="24"/>
        </w:rPr>
        <w:t>名</w:t>
      </w:r>
      <w:r>
        <w:rPr>
          <w:rFonts w:hint="eastAsia"/>
          <w:color w:val="000000"/>
          <w:sz w:val="24"/>
        </w:rPr>
        <w:t>孕妇</w:t>
      </w:r>
      <w:r>
        <w:rPr>
          <w:color w:val="000000"/>
          <w:sz w:val="24"/>
        </w:rPr>
        <w:t>的尿碘，</w:t>
      </w:r>
      <w:r>
        <w:rPr>
          <w:rFonts w:hint="eastAsia"/>
          <w:color w:val="000000"/>
          <w:sz w:val="24"/>
        </w:rPr>
        <w:t>总体</w:t>
      </w:r>
      <w:r>
        <w:rPr>
          <w:color w:val="000000"/>
          <w:sz w:val="24"/>
        </w:rPr>
        <w:t>尿碘中位数为</w:t>
      </w:r>
      <w:r>
        <w:rPr>
          <w:rFonts w:hint="eastAsia"/>
          <w:color w:val="000000"/>
          <w:sz w:val="24"/>
        </w:rPr>
        <w:t>229.9</w:t>
      </w:r>
      <w:r>
        <w:rPr>
          <w:color w:val="000000"/>
          <w:sz w:val="24"/>
        </w:rPr>
        <w:t>μg/L。</w:t>
      </w:r>
      <w:r>
        <w:rPr>
          <w:rFonts w:hint="eastAsia"/>
          <w:color w:val="000000"/>
          <w:sz w:val="24"/>
        </w:rPr>
        <w:t>山西、安徽和河南3个省孕妇</w:t>
      </w:r>
      <w:r>
        <w:rPr>
          <w:color w:val="000000"/>
          <w:sz w:val="24"/>
        </w:rPr>
        <w:t>尿碘中位数均超过</w:t>
      </w:r>
      <w:r>
        <w:rPr>
          <w:rFonts w:hint="eastAsia"/>
          <w:color w:val="000000"/>
          <w:sz w:val="24"/>
        </w:rPr>
        <w:t>了250</w:t>
      </w:r>
      <w:r>
        <w:rPr>
          <w:color w:val="000000"/>
          <w:sz w:val="24"/>
        </w:rPr>
        <w:t>μg/L，处于大于适宜量水平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其中</w:t>
      </w:r>
      <w:r>
        <w:rPr>
          <w:rFonts w:hint="eastAsia"/>
          <w:color w:val="000000"/>
          <w:sz w:val="24"/>
        </w:rPr>
        <w:t>山西孕妇</w:t>
      </w:r>
      <w:r>
        <w:rPr>
          <w:color w:val="000000"/>
          <w:sz w:val="24"/>
        </w:rPr>
        <w:t>尿碘中位数</w:t>
      </w:r>
      <w:r>
        <w:rPr>
          <w:rFonts w:hint="eastAsia"/>
          <w:color w:val="000000"/>
          <w:sz w:val="24"/>
        </w:rPr>
        <w:t>最高，为336.5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；天津、河北、内蒙古、辽宁、江苏、山东和湖南7个省孕妇尿碘中位数处于</w:t>
      </w:r>
      <w:r>
        <w:rPr>
          <w:color w:val="000000"/>
          <w:sz w:val="24"/>
        </w:rPr>
        <w:t>适宜水平</w:t>
      </w:r>
      <w:r>
        <w:rPr>
          <w:rFonts w:hint="eastAsia"/>
          <w:color w:val="000000"/>
          <w:sz w:val="24"/>
        </w:rPr>
        <w:t>；黑龙江和陕西2个省孕妇尿碘中位数低于适宜量。总体孕妇尿碘，随着孕期的增加，孕妇尿碘呈现下降趋势，孕早期尿碘水平高于孕中期和孕晚期。</w:t>
      </w:r>
    </w:p>
    <w:p>
      <w:pPr>
        <w:pStyle w:val="11"/>
        <w:spacing w:before="0" w:line="360" w:lineRule="auto"/>
        <w:ind w:firstLine="480" w:firstLineChars="200"/>
        <w:rPr>
          <w:rFonts w:hint="eastAsia" w:ascii="宋体" w:hAnsi="宋体" w:eastAsia="宋体"/>
          <w:b w:val="0"/>
          <w:color w:val="000000"/>
          <w:sz w:val="24"/>
          <w:szCs w:val="24"/>
        </w:rPr>
      </w:pPr>
      <w:r>
        <w:rPr>
          <w:rFonts w:hint="eastAsia" w:ascii="宋体" w:hAnsi="宋体" w:eastAsia="宋体"/>
          <w:b w:val="0"/>
          <w:color w:val="000000"/>
          <w:sz w:val="24"/>
          <w:szCs w:val="24"/>
        </w:rPr>
        <w:t>（</w:t>
      </w:r>
      <w:r>
        <w:rPr>
          <w:rFonts w:hint="eastAsia" w:ascii="宋体" w:hAnsi="宋体" w:eastAsia="宋体"/>
          <w:b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 w:val="0"/>
          <w:color w:val="000000"/>
          <w:sz w:val="24"/>
          <w:szCs w:val="24"/>
        </w:rPr>
        <w:t>）儿童甲状腺调查结果</w:t>
      </w:r>
    </w:p>
    <w:p>
      <w:pPr>
        <w:spacing w:line="360" w:lineRule="auto"/>
        <w:ind w:firstLine="480" w:firstLineChars="200"/>
        <w:jc w:val="left"/>
        <w:rPr>
          <w:rFonts w:hint="eastAsia"/>
          <w:b w:val="0"/>
          <w:color w:val="000000"/>
          <w:sz w:val="24"/>
          <w:szCs w:val="24"/>
        </w:rPr>
      </w:pPr>
      <w:r>
        <w:rPr>
          <w:rFonts w:hint="default"/>
          <w:color w:val="000000"/>
          <w:sz w:val="24"/>
        </w:rPr>
        <w:t>在13</w:t>
      </w:r>
      <w:r>
        <w:rPr>
          <w:rFonts w:hint="eastAsia"/>
          <w:color w:val="000000"/>
          <w:sz w:val="24"/>
        </w:rPr>
        <w:t>个省份</w:t>
      </w:r>
      <w:r>
        <w:rPr>
          <w:rFonts w:hint="default"/>
          <w:color w:val="000000"/>
          <w:sz w:val="24"/>
        </w:rPr>
        <w:t>192个县开展了儿童病情监测工作，</w:t>
      </w:r>
      <w:r>
        <w:rPr>
          <w:rFonts w:hint="eastAsia"/>
          <w:color w:val="000000"/>
          <w:sz w:val="24"/>
        </w:rPr>
        <w:t>共监测</w:t>
      </w:r>
      <w:r>
        <w:rPr>
          <w:rFonts w:hint="default"/>
          <w:color w:val="000000"/>
          <w:sz w:val="24"/>
        </w:rPr>
        <w:t>了42830</w:t>
      </w:r>
      <w:r>
        <w:rPr>
          <w:rFonts w:hint="eastAsia"/>
          <w:color w:val="000000"/>
          <w:sz w:val="24"/>
        </w:rPr>
        <w:t>名6～12岁儿童，男生占5</w:t>
      </w:r>
      <w:r>
        <w:rPr>
          <w:rFonts w:hint="default"/>
          <w:color w:val="000000"/>
          <w:sz w:val="24"/>
        </w:rPr>
        <w:t>0.9</w:t>
      </w:r>
      <w:r>
        <w:rPr>
          <w:rFonts w:hint="eastAsia"/>
          <w:color w:val="000000"/>
          <w:sz w:val="24"/>
        </w:rPr>
        <w:t>%，女生占</w:t>
      </w:r>
      <w:r>
        <w:rPr>
          <w:rFonts w:hint="default"/>
          <w:color w:val="000000"/>
          <w:sz w:val="24"/>
        </w:rPr>
        <w:t>49.1</w:t>
      </w:r>
      <w:r>
        <w:rPr>
          <w:rFonts w:hint="eastAsia"/>
          <w:color w:val="000000"/>
          <w:sz w:val="24"/>
        </w:rPr>
        <w:t>%。</w:t>
      </w:r>
      <w:r>
        <w:rPr>
          <w:rFonts w:hint="default"/>
          <w:color w:val="000000"/>
          <w:sz w:val="24"/>
        </w:rPr>
        <w:t>虽然调查儿童年龄在6</w:t>
      </w:r>
      <w:r>
        <w:rPr>
          <w:rFonts w:hint="eastAsia"/>
          <w:color w:val="000000"/>
          <w:sz w:val="24"/>
        </w:rPr>
        <w:t>～</w:t>
      </w:r>
      <w:r>
        <w:rPr>
          <w:rFonts w:hint="default"/>
          <w:color w:val="000000"/>
          <w:sz w:val="24"/>
        </w:rPr>
        <w:t>12岁之间</w:t>
      </w:r>
      <w:r>
        <w:rPr>
          <w:rFonts w:hint="eastAsia"/>
          <w:color w:val="000000"/>
          <w:sz w:val="24"/>
        </w:rPr>
        <w:t>，但总体调查儿童仍以8～10岁为主，占</w:t>
      </w:r>
      <w:r>
        <w:rPr>
          <w:rFonts w:hint="default"/>
          <w:color w:val="000000"/>
          <w:sz w:val="24"/>
        </w:rPr>
        <w:t>81.3</w:t>
      </w:r>
      <w:r>
        <w:rPr>
          <w:rFonts w:hint="eastAsia"/>
          <w:color w:val="000000"/>
          <w:sz w:val="24"/>
        </w:rPr>
        <w:t>%。</w:t>
      </w:r>
      <w:r>
        <w:rPr>
          <w:rFonts w:hint="default"/>
          <w:color w:val="000000"/>
          <w:sz w:val="24"/>
        </w:rPr>
        <w:t>13个</w:t>
      </w:r>
      <w:r>
        <w:rPr>
          <w:rFonts w:hint="eastAsia"/>
          <w:color w:val="000000"/>
          <w:sz w:val="24"/>
        </w:rPr>
        <w:t>省</w:t>
      </w:r>
      <w:r>
        <w:rPr>
          <w:rFonts w:hint="default"/>
          <w:color w:val="000000"/>
          <w:sz w:val="24"/>
        </w:rPr>
        <w:t>份</w:t>
      </w:r>
      <w:r>
        <w:rPr>
          <w:rFonts w:hint="eastAsia"/>
          <w:color w:val="000000"/>
          <w:sz w:val="24"/>
        </w:rPr>
        <w:t>总的</w:t>
      </w:r>
      <w:r>
        <w:rPr>
          <w:rFonts w:hint="default"/>
          <w:color w:val="000000"/>
          <w:sz w:val="24"/>
        </w:rPr>
        <w:t>儿童</w:t>
      </w:r>
      <w:r>
        <w:rPr>
          <w:rFonts w:hint="eastAsia"/>
          <w:color w:val="000000"/>
          <w:sz w:val="24"/>
        </w:rPr>
        <w:t>甲肿率为</w:t>
      </w:r>
      <w:r>
        <w:rPr>
          <w:rFonts w:hint="default"/>
          <w:color w:val="000000"/>
          <w:sz w:val="24"/>
        </w:rPr>
        <w:t>3.6</w:t>
      </w:r>
      <w:r>
        <w:rPr>
          <w:rFonts w:hint="eastAsia"/>
          <w:color w:val="000000"/>
          <w:sz w:val="24"/>
        </w:rPr>
        <w:t>%</w:t>
      </w:r>
      <w:r>
        <w:rPr>
          <w:rFonts w:hint="default"/>
          <w:color w:val="000000"/>
          <w:sz w:val="24"/>
        </w:rPr>
        <w:t>。自2012年以来，除2013、2018和本年度2019年儿童甲肿率低于5%外，其他年份儿童甲肿率均在5%以上。河北和山西儿童</w:t>
      </w:r>
      <w:r>
        <w:rPr>
          <w:rFonts w:hint="eastAsia"/>
          <w:color w:val="000000"/>
          <w:sz w:val="24"/>
        </w:rPr>
        <w:t>甲肿率</w:t>
      </w:r>
      <w:r>
        <w:rPr>
          <w:rFonts w:hint="default"/>
          <w:color w:val="000000"/>
          <w:sz w:val="24"/>
        </w:rPr>
        <w:t>较高，分别为5.2%和5.9</w:t>
      </w:r>
      <w:r>
        <w:rPr>
          <w:rFonts w:hint="eastAsia"/>
          <w:color w:val="000000"/>
          <w:sz w:val="24"/>
        </w:rPr>
        <w:t>%，</w:t>
      </w:r>
      <w:r>
        <w:rPr>
          <w:rFonts w:hint="default"/>
          <w:color w:val="000000"/>
          <w:sz w:val="24"/>
        </w:rPr>
        <w:t>其他省份均在</w:t>
      </w:r>
      <w:r>
        <w:rPr>
          <w:rFonts w:hint="eastAsia"/>
          <w:color w:val="000000"/>
          <w:sz w:val="24"/>
        </w:rPr>
        <w:t>5%</w:t>
      </w:r>
      <w:r>
        <w:rPr>
          <w:rFonts w:hint="default"/>
          <w:color w:val="000000"/>
          <w:sz w:val="24"/>
        </w:rPr>
        <w:t>以下</w:t>
      </w:r>
      <w:r>
        <w:rPr>
          <w:rFonts w:hint="eastAsia"/>
          <w:color w:val="000000"/>
          <w:sz w:val="24"/>
        </w:rPr>
        <w:t>。按照</w:t>
      </w:r>
      <w:r>
        <w:rPr>
          <w:rFonts w:hint="default"/>
          <w:color w:val="000000"/>
          <w:sz w:val="24"/>
        </w:rPr>
        <w:t>实际监测</w:t>
      </w:r>
      <w:r>
        <w:rPr>
          <w:rFonts w:hint="eastAsia"/>
          <w:color w:val="000000"/>
          <w:sz w:val="24"/>
        </w:rPr>
        <w:t>水碘</w:t>
      </w:r>
      <w:r>
        <w:rPr>
          <w:rFonts w:hint="default"/>
          <w:color w:val="000000"/>
          <w:sz w:val="24"/>
        </w:rPr>
        <w:t>中位数范围</w:t>
      </w:r>
      <w:r>
        <w:rPr>
          <w:rFonts w:hint="eastAsia"/>
          <w:color w:val="000000"/>
          <w:sz w:val="24"/>
        </w:rPr>
        <w:t>进行分组，水碘</w:t>
      </w:r>
      <w:r>
        <w:rPr>
          <w:rFonts w:hint="default"/>
          <w:color w:val="000000"/>
          <w:sz w:val="24"/>
        </w:rPr>
        <w:t>小于等于100</w:t>
      </w:r>
      <w:r>
        <w:rPr>
          <w:rFonts w:hint="eastAsia"/>
          <w:color w:val="000000"/>
          <w:sz w:val="24"/>
        </w:rPr>
        <w:t>μg/L</w:t>
      </w:r>
      <w:r>
        <w:rPr>
          <w:rFonts w:hint="default"/>
          <w:color w:val="000000"/>
          <w:sz w:val="24"/>
        </w:rPr>
        <w:t>地区</w:t>
      </w:r>
      <w:r>
        <w:rPr>
          <w:rFonts w:hint="eastAsia"/>
          <w:color w:val="000000"/>
          <w:sz w:val="24"/>
        </w:rPr>
        <w:t>儿童甲肿率为</w:t>
      </w:r>
      <w:r>
        <w:rPr>
          <w:rFonts w:hint="default"/>
          <w:color w:val="000000"/>
          <w:sz w:val="24"/>
        </w:rPr>
        <w:t>3.0%，</w:t>
      </w:r>
      <w:r>
        <w:rPr>
          <w:rFonts w:hint="eastAsia"/>
          <w:color w:val="000000"/>
          <w:sz w:val="24"/>
        </w:rPr>
        <w:t>水碘1</w:t>
      </w:r>
      <w:r>
        <w:rPr>
          <w:rFonts w:hint="default"/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0</w:t>
      </w:r>
      <w:r>
        <w:rPr>
          <w:rFonts w:hint="default"/>
          <w:color w:val="000000"/>
          <w:sz w:val="24"/>
        </w:rPr>
        <w:t>.1</w:t>
      </w:r>
      <w:r>
        <w:rPr>
          <w:rFonts w:hint="eastAsia"/>
          <w:color w:val="000000"/>
          <w:sz w:val="24"/>
        </w:rPr>
        <w:t>～</w:t>
      </w:r>
      <w:r>
        <w:rPr>
          <w:rFonts w:hint="default"/>
          <w:color w:val="000000"/>
          <w:sz w:val="24"/>
        </w:rPr>
        <w:t>149.9</w:t>
      </w:r>
      <w:r>
        <w:rPr>
          <w:rFonts w:hint="eastAsia"/>
          <w:color w:val="000000"/>
          <w:sz w:val="24"/>
        </w:rPr>
        <w:t>μg/L</w:t>
      </w:r>
      <w:r>
        <w:rPr>
          <w:rFonts w:hint="default"/>
          <w:color w:val="000000"/>
          <w:sz w:val="24"/>
        </w:rPr>
        <w:t>地区</w:t>
      </w:r>
      <w:r>
        <w:rPr>
          <w:rFonts w:hint="eastAsia"/>
          <w:color w:val="000000"/>
          <w:sz w:val="24"/>
        </w:rPr>
        <w:t>儿童甲肿率为</w:t>
      </w:r>
      <w:r>
        <w:rPr>
          <w:rFonts w:hint="default"/>
          <w:color w:val="000000"/>
          <w:sz w:val="24"/>
        </w:rPr>
        <w:t>2.7</w:t>
      </w:r>
      <w:r>
        <w:rPr>
          <w:rFonts w:hint="eastAsia"/>
          <w:color w:val="000000"/>
          <w:sz w:val="24"/>
        </w:rPr>
        <w:t>%，水碘1</w:t>
      </w:r>
      <w:r>
        <w:rPr>
          <w:rFonts w:hint="default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～</w:t>
      </w:r>
      <w:r>
        <w:rPr>
          <w:rFonts w:hint="default"/>
          <w:color w:val="000000"/>
          <w:sz w:val="24"/>
        </w:rPr>
        <w:t>300</w:t>
      </w:r>
      <w:r>
        <w:rPr>
          <w:rFonts w:hint="eastAsia"/>
          <w:color w:val="000000"/>
          <w:sz w:val="24"/>
        </w:rPr>
        <w:t>μg/L</w:t>
      </w:r>
      <w:r>
        <w:rPr>
          <w:rFonts w:hint="default"/>
          <w:color w:val="000000"/>
          <w:sz w:val="24"/>
        </w:rPr>
        <w:t>地区</w:t>
      </w:r>
      <w:r>
        <w:rPr>
          <w:rFonts w:hint="eastAsia"/>
          <w:color w:val="000000"/>
          <w:sz w:val="24"/>
        </w:rPr>
        <w:t>儿童甲肿率为</w:t>
      </w:r>
      <w:r>
        <w:rPr>
          <w:rFonts w:hint="default"/>
          <w:color w:val="000000"/>
          <w:sz w:val="24"/>
        </w:rPr>
        <w:t>4.5</w:t>
      </w:r>
      <w:r>
        <w:rPr>
          <w:rFonts w:hint="eastAsia"/>
          <w:color w:val="000000"/>
          <w:sz w:val="24"/>
        </w:rPr>
        <w:t>%</w:t>
      </w:r>
      <w:r>
        <w:rPr>
          <w:rFonts w:hint="default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水碘</w:t>
      </w:r>
      <w:r>
        <w:rPr>
          <w:rFonts w:hint="default"/>
          <w:color w:val="000000"/>
          <w:sz w:val="24"/>
        </w:rPr>
        <w:t>大于300</w:t>
      </w:r>
      <w:r>
        <w:rPr>
          <w:rFonts w:hint="eastAsia"/>
          <w:color w:val="000000"/>
          <w:sz w:val="24"/>
        </w:rPr>
        <w:t>μg/L</w:t>
      </w:r>
      <w:r>
        <w:rPr>
          <w:rFonts w:hint="default"/>
          <w:color w:val="000000"/>
          <w:sz w:val="24"/>
        </w:rPr>
        <w:t>地区</w:t>
      </w:r>
      <w:r>
        <w:rPr>
          <w:rFonts w:hint="eastAsia"/>
          <w:color w:val="000000"/>
          <w:sz w:val="24"/>
        </w:rPr>
        <w:t>儿童甲肿率为</w:t>
      </w:r>
      <w:r>
        <w:rPr>
          <w:rFonts w:hint="default"/>
          <w:color w:val="000000"/>
          <w:sz w:val="24"/>
        </w:rPr>
        <w:t>5.8</w:t>
      </w:r>
      <w:r>
        <w:rPr>
          <w:rFonts w:hint="eastAsia"/>
          <w:color w:val="000000"/>
          <w:sz w:val="24"/>
        </w:rPr>
        <w:t>%</w:t>
      </w:r>
      <w:r>
        <w:rPr>
          <w:rFonts w:hint="default"/>
          <w:color w:val="000000"/>
          <w:sz w:val="24"/>
        </w:rPr>
        <w:t>。可见在水碘大于150</w:t>
      </w:r>
      <w:r>
        <w:rPr>
          <w:rFonts w:hint="eastAsia"/>
          <w:color w:val="000000"/>
          <w:sz w:val="24"/>
        </w:rPr>
        <w:t>μg/L</w:t>
      </w:r>
      <w:r>
        <w:rPr>
          <w:rFonts w:hint="default"/>
          <w:color w:val="000000"/>
          <w:sz w:val="24"/>
        </w:rPr>
        <w:t>后，总体儿童甲肿率升高趋势明显。儿童甲肿率较高地区主要分布在水碘大于300</w:t>
      </w:r>
      <w:r>
        <w:rPr>
          <w:rFonts w:hint="eastAsia"/>
          <w:color w:val="000000"/>
          <w:sz w:val="24"/>
        </w:rPr>
        <w:t>μg/L</w:t>
      </w:r>
      <w:r>
        <w:rPr>
          <w:rFonts w:hint="default"/>
          <w:color w:val="000000"/>
          <w:sz w:val="24"/>
        </w:rPr>
        <w:t>组，其中天津、河北、山西和山东儿童甲肿率在水碘大于300</w:t>
      </w:r>
      <w:r>
        <w:rPr>
          <w:rFonts w:hint="eastAsia"/>
          <w:color w:val="000000"/>
          <w:sz w:val="24"/>
        </w:rPr>
        <w:t>μg/L</w:t>
      </w:r>
      <w:r>
        <w:rPr>
          <w:rFonts w:hint="default"/>
          <w:color w:val="000000"/>
          <w:sz w:val="24"/>
        </w:rPr>
        <w:t>组均超过5%，分别为10.0%、5.3%、7.6%和5.9%。</w:t>
      </w:r>
      <w:r>
        <w:rPr>
          <w:rFonts w:hint="default" w:ascii="Times New Roman" w:hAnsi="Times New Roman" w:eastAsia="宋体"/>
          <w:color w:val="000000"/>
          <w:sz w:val="24"/>
          <w:szCs w:val="24"/>
        </w:rPr>
        <w:t>见表</w:t>
      </w:r>
      <w:r>
        <w:rPr>
          <w:rFonts w:hint="default" w:ascii="Times New Roman" w:hAnsi="Times New Roman" w:eastAsia="宋体"/>
          <w:color w:val="000000"/>
          <w:sz w:val="24"/>
          <w:szCs w:val="24"/>
          <w:lang w:eastAsia="zh-CN"/>
        </w:rPr>
        <w:t>6</w:t>
      </w:r>
      <w:r>
        <w:rPr>
          <w:rFonts w:hint="default" w:ascii="Times New Roman" w:hAnsi="Times New Roman" w:eastAsia="宋体"/>
          <w:color w:val="000000"/>
          <w:sz w:val="24"/>
          <w:szCs w:val="24"/>
        </w:rPr>
        <w:t>。</w:t>
      </w:r>
    </w:p>
    <w:p>
      <w:pPr>
        <w:spacing w:line="360" w:lineRule="auto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>表</w:t>
      </w:r>
      <w:r>
        <w:rPr>
          <w:rFonts w:hint="eastAsia"/>
          <w:b/>
          <w:color w:val="000000"/>
          <w:szCs w:val="21"/>
          <w:lang w:val="en-US" w:eastAsia="zh-CN"/>
        </w:rPr>
        <w:t>6</w:t>
      </w:r>
      <w:r>
        <w:rPr>
          <w:b/>
          <w:color w:val="000000"/>
          <w:szCs w:val="21"/>
        </w:rPr>
        <w:t xml:space="preserve"> 水源性高碘地区儿童甲状腺肿大情况</w:t>
      </w:r>
    </w:p>
    <w:tbl>
      <w:tblPr>
        <w:tblW w:w="8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680"/>
        <w:gridCol w:w="429"/>
        <w:gridCol w:w="429"/>
        <w:gridCol w:w="113"/>
        <w:gridCol w:w="426"/>
        <w:gridCol w:w="425"/>
        <w:gridCol w:w="425"/>
        <w:gridCol w:w="382"/>
        <w:gridCol w:w="426"/>
        <w:gridCol w:w="425"/>
        <w:gridCol w:w="425"/>
        <w:gridCol w:w="709"/>
        <w:gridCol w:w="425"/>
        <w:gridCol w:w="709"/>
        <w:gridCol w:w="567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省份</w:t>
            </w:r>
          </w:p>
        </w:tc>
        <w:tc>
          <w:tcPr>
            <w:tcW w:w="680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样本量</w:t>
            </w:r>
          </w:p>
        </w:tc>
        <w:tc>
          <w:tcPr>
            <w:tcW w:w="858" w:type="dxa"/>
            <w:gridSpan w:val="2"/>
            <w:tcBorders>
              <w:top w:val="single" w:color="auto" w:sz="8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性别(%)</w:t>
            </w:r>
          </w:p>
        </w:tc>
        <w:tc>
          <w:tcPr>
            <w:tcW w:w="113" w:type="dxa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4" w:type="dxa"/>
            <w:gridSpan w:val="7"/>
            <w:tcBorders>
              <w:top w:val="single" w:color="auto" w:sz="8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调查对象年龄(%)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甲肿率（%）</w:t>
            </w:r>
          </w:p>
        </w:tc>
        <w:tc>
          <w:tcPr>
            <w:tcW w:w="2410" w:type="dxa"/>
            <w:gridSpan w:val="4"/>
            <w:tcBorders>
              <w:top w:val="single" w:color="auto" w:sz="8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不同水碘地区甲肿率（%）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vMerge w:val="continue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男</w:t>
            </w:r>
          </w:p>
        </w:tc>
        <w:tc>
          <w:tcPr>
            <w:tcW w:w="429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3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82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≤</w:t>
            </w: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100.1-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&gt;30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680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429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50.9 </w:t>
            </w:r>
          </w:p>
        </w:tc>
        <w:tc>
          <w:tcPr>
            <w:tcW w:w="429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49.1 </w:t>
            </w:r>
          </w:p>
        </w:tc>
        <w:tc>
          <w:tcPr>
            <w:tcW w:w="113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42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24.8</w:t>
            </w:r>
          </w:p>
        </w:tc>
        <w:tc>
          <w:tcPr>
            <w:tcW w:w="382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27.3</w:t>
            </w:r>
          </w:p>
        </w:tc>
        <w:tc>
          <w:tcPr>
            <w:tcW w:w="426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32.7</w:t>
            </w:r>
          </w:p>
        </w:tc>
        <w:tc>
          <w:tcPr>
            <w:tcW w:w="42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42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709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42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6833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51.3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48.7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24.5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山西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9438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50.7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49.3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27.6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25.2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内蒙古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1171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50.4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49.6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33.9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39.7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辽宁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48.5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51.5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黑龙江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50.7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49.3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12.3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19.2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1325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49.6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50.4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29.8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31.2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27.6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安徽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4517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50.3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49.7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27.9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33.2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32.7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江西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57.8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42.2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38.4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25.6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山东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8762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51.2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48.8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16.8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27.9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30.9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8900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51.4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48.6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19.3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33.6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48.0 </w:t>
            </w:r>
          </w:p>
        </w:tc>
        <w:tc>
          <w:tcPr>
            <w:tcW w:w="42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52.0 </w:t>
            </w:r>
          </w:p>
        </w:tc>
        <w:tc>
          <w:tcPr>
            <w:tcW w:w="113" w:type="dxa"/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382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41.4</w:t>
            </w:r>
          </w:p>
        </w:tc>
        <w:tc>
          <w:tcPr>
            <w:tcW w:w="426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38.8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425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7" w:type="dxa"/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陕西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429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46.7 </w:t>
            </w:r>
          </w:p>
        </w:tc>
        <w:tc>
          <w:tcPr>
            <w:tcW w:w="429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53.3 </w:t>
            </w:r>
          </w:p>
        </w:tc>
        <w:tc>
          <w:tcPr>
            <w:tcW w:w="113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382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28.1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42830</w:t>
            </w:r>
          </w:p>
        </w:tc>
        <w:tc>
          <w:tcPr>
            <w:tcW w:w="429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50.9</w:t>
            </w:r>
          </w:p>
        </w:tc>
        <w:tc>
          <w:tcPr>
            <w:tcW w:w="429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49.1</w:t>
            </w:r>
          </w:p>
        </w:tc>
        <w:tc>
          <w:tcPr>
            <w:tcW w:w="113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21.7</w:t>
            </w:r>
          </w:p>
        </w:tc>
        <w:tc>
          <w:tcPr>
            <w:tcW w:w="382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29.8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29.8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以县为单位分析各监测点的儿童甲肿率情况，192个监测县中，共有35个县的儿童甲肿率大于等于5%，占18.2%，其中河北13个，山东9个，山西5，河南各4个，安徽3个、江苏1个。儿童甲肿率大于等于10%的监测县有12个，分布在安徽、山东、河北和山西4个省，分别是安徽淮南市潘集区（33.8%），山东高青县（18.2%）、无棣县（14.5%）和鱼台县（12.8%），河北沧县（18.2%）、威县（13.0%）、巨鹿县（12.0%）、宁晋县（11.3%）、黄骅市（10.7%）、盐山县（10.6%）和沧州市中捷产业园区（10.0%），山西文水县（10.8%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lang w:val="en-US" w:eastAsia="zh-CN"/>
        </w:rPr>
        <w:t>3.主要结论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</w:rPr>
        <w:t>）</w:t>
      </w:r>
      <w:r>
        <w:rPr>
          <w:rFonts w:hint="eastAsia" w:ascii="宋体" w:hAnsi="宋体" w:cs="宋体"/>
          <w:color w:val="000000"/>
          <w:sz w:val="24"/>
        </w:rPr>
        <w:t>2019年我国水源性高碘地区水碘中位数为135.6μg/L。天津、河北、山西、内蒙古、江苏、安徽、河南和湖南水碘中位数均大于100μg/L。在1231个监测点中，共有839监测点水碘中位数在100μg/L以上，包括731个集中式供水监测点和108个分散式供水监测点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2019</w:t>
      </w:r>
      <w:r>
        <w:rPr>
          <w:rFonts w:hint="eastAsia"/>
          <w:color w:val="000000"/>
          <w:sz w:val="24"/>
        </w:rPr>
        <w:t>年我国原8个高碘省份水源性高碘地区儿童家中未加碘食盐率为64.7</w:t>
      </w:r>
      <w:r>
        <w:rPr>
          <w:color w:val="000000"/>
          <w:sz w:val="24"/>
        </w:rPr>
        <w:t>%</w:t>
      </w:r>
      <w:r>
        <w:rPr>
          <w:rFonts w:hint="eastAsia"/>
          <w:color w:val="000000"/>
          <w:sz w:val="24"/>
        </w:rPr>
        <w:t>，新发现高碘地区儿童未加碘食盐率为24.1%。全部</w:t>
      </w:r>
      <w:r>
        <w:rPr>
          <w:color w:val="000000"/>
          <w:sz w:val="24"/>
        </w:rPr>
        <w:t>19</w:t>
      </w:r>
      <w:r>
        <w:rPr>
          <w:rFonts w:hint="eastAsia"/>
          <w:color w:val="000000"/>
          <w:sz w:val="24"/>
        </w:rPr>
        <w:t>7个监测县中有133个县未加碘食盐率低于</w:t>
      </w:r>
      <w:r>
        <w:rPr>
          <w:color w:val="000000"/>
          <w:sz w:val="24"/>
        </w:rPr>
        <w:t>90%</w:t>
      </w:r>
      <w:r>
        <w:rPr>
          <w:rFonts w:hint="eastAsia"/>
          <w:color w:val="000000"/>
          <w:sz w:val="24"/>
        </w:rPr>
        <w:t>，其中46个县未加碘食盐率为</w:t>
      </w:r>
      <w:r>
        <w:rPr>
          <w:color w:val="000000"/>
          <w:sz w:val="24"/>
        </w:rPr>
        <w:t>0%</w:t>
      </w:r>
      <w:r>
        <w:rPr>
          <w:rFonts w:hint="eastAsia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2019年我国水</w:t>
      </w:r>
      <w:r>
        <w:rPr>
          <w:rFonts w:hint="eastAsia"/>
          <w:color w:val="000000"/>
          <w:sz w:val="24"/>
        </w:rPr>
        <w:t>源</w:t>
      </w:r>
      <w:r>
        <w:rPr>
          <w:color w:val="000000"/>
          <w:sz w:val="24"/>
        </w:rPr>
        <w:t>性高碘地区儿童尿碘中位数为3</w:t>
      </w:r>
      <w:r>
        <w:rPr>
          <w:rFonts w:hint="eastAsia"/>
          <w:color w:val="000000"/>
          <w:sz w:val="24"/>
        </w:rPr>
        <w:t>43.1</w:t>
      </w:r>
      <w:r>
        <w:rPr>
          <w:color w:val="000000"/>
          <w:sz w:val="24"/>
        </w:rPr>
        <w:t>μg/L，处于碘过量水平。</w:t>
      </w:r>
      <w:r>
        <w:rPr>
          <w:rFonts w:hint="eastAsia"/>
          <w:color w:val="000000"/>
          <w:sz w:val="24"/>
        </w:rPr>
        <w:t>河北、山西、内蒙古、江苏、安徽和河南6个省</w:t>
      </w:r>
      <w:r>
        <w:rPr>
          <w:color w:val="000000"/>
          <w:sz w:val="24"/>
        </w:rPr>
        <w:t>儿童尿碘</w:t>
      </w:r>
      <w:r>
        <w:rPr>
          <w:rFonts w:hint="eastAsia"/>
          <w:color w:val="000000"/>
          <w:sz w:val="24"/>
        </w:rPr>
        <w:t>中位数处于碘过量水平，197</w:t>
      </w:r>
      <w:r>
        <w:rPr>
          <w:color w:val="000000"/>
          <w:sz w:val="24"/>
        </w:rPr>
        <w:t>个</w:t>
      </w:r>
      <w:r>
        <w:rPr>
          <w:rFonts w:hint="eastAsia"/>
          <w:color w:val="000000"/>
          <w:sz w:val="24"/>
        </w:rPr>
        <w:t>县</w:t>
      </w:r>
      <w:r>
        <w:rPr>
          <w:color w:val="000000"/>
          <w:sz w:val="24"/>
        </w:rPr>
        <w:t>中有</w:t>
      </w:r>
      <w:r>
        <w:rPr>
          <w:rFonts w:hint="eastAsia"/>
          <w:color w:val="000000"/>
          <w:sz w:val="24"/>
        </w:rPr>
        <w:t>111</w:t>
      </w:r>
      <w:r>
        <w:rPr>
          <w:color w:val="000000"/>
          <w:sz w:val="24"/>
        </w:rPr>
        <w:t>个</w:t>
      </w:r>
      <w:r>
        <w:rPr>
          <w:rFonts w:hint="eastAsia"/>
          <w:color w:val="000000"/>
          <w:sz w:val="24"/>
        </w:rPr>
        <w:t>县处于碘过量水平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孕妇尿碘中位数为229.9</w:t>
      </w:r>
      <w:r>
        <w:rPr>
          <w:color w:val="000000"/>
          <w:sz w:val="24"/>
        </w:rPr>
        <w:t>μg/L</w:t>
      </w:r>
      <w:r>
        <w:rPr>
          <w:rFonts w:hint="eastAsia"/>
          <w:color w:val="000000"/>
          <w:sz w:val="24"/>
        </w:rPr>
        <w:t>。山西、安徽和河南3个省的水源性高碘地区孕妇尿碘中位数处于大于适宜量水平，190个县中79个县处于大于适宜量水平，4个县处于碘过量水平。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2019年我国水</w:t>
      </w:r>
      <w:r>
        <w:rPr>
          <w:rFonts w:hint="eastAsia"/>
          <w:color w:val="000000"/>
          <w:sz w:val="24"/>
        </w:rPr>
        <w:t>源</w:t>
      </w:r>
      <w:r>
        <w:rPr>
          <w:color w:val="000000"/>
          <w:sz w:val="24"/>
        </w:rPr>
        <w:t>性高碘地区儿童甲肿率为</w:t>
      </w:r>
      <w:r>
        <w:rPr>
          <w:rFonts w:hint="eastAsia"/>
          <w:color w:val="000000"/>
          <w:sz w:val="24"/>
        </w:rPr>
        <w:t>3.6</w:t>
      </w:r>
      <w:r>
        <w:rPr>
          <w:color w:val="000000"/>
          <w:sz w:val="24"/>
        </w:rPr>
        <w:t>%</w:t>
      </w:r>
      <w:r>
        <w:rPr>
          <w:rFonts w:hint="eastAsia"/>
          <w:color w:val="000000"/>
          <w:sz w:val="24"/>
        </w:rPr>
        <w:t>。2</w:t>
      </w:r>
      <w:r>
        <w:rPr>
          <w:color w:val="000000"/>
          <w:sz w:val="24"/>
        </w:rPr>
        <w:t>个省份的甲肿率超过5%</w:t>
      </w:r>
      <w:r>
        <w:rPr>
          <w:rFonts w:hint="eastAsia"/>
          <w:color w:val="000000"/>
          <w:sz w:val="24"/>
        </w:rPr>
        <w:t>，192个监测县中有35</w:t>
      </w:r>
      <w:r>
        <w:rPr>
          <w:color w:val="000000"/>
          <w:sz w:val="24"/>
        </w:rPr>
        <w:t>个县的甲肿率</w:t>
      </w:r>
      <w:r>
        <w:rPr>
          <w:rFonts w:hint="eastAsia"/>
          <w:color w:val="000000"/>
          <w:sz w:val="24"/>
        </w:rPr>
        <w:t>大于等于</w:t>
      </w:r>
      <w:r>
        <w:rPr>
          <w:color w:val="000000"/>
          <w:sz w:val="24"/>
        </w:rPr>
        <w:t>5%</w:t>
      </w:r>
      <w:r>
        <w:rPr>
          <w:rFonts w:hint="eastAsia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三</w:t>
      </w:r>
      <w:r>
        <w:rPr>
          <w:rFonts w:hint="eastAsia" w:ascii="宋体" w:hAnsi="宋体"/>
          <w:b/>
          <w:sz w:val="24"/>
          <w:highlight w:val="none"/>
        </w:rPr>
        <w:t>）饮水型地方性氟中毒监测</w:t>
      </w:r>
    </w:p>
    <w:p>
      <w:pPr>
        <w:pStyle w:val="11"/>
        <w:spacing w:line="360" w:lineRule="auto"/>
        <w:ind w:firstLine="480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1．项目完成情况</w:t>
      </w:r>
    </w:p>
    <w:p>
      <w:pPr>
        <w:pStyle w:val="11"/>
        <w:spacing w:line="360" w:lineRule="auto"/>
        <w:ind w:firstLine="480"/>
        <w:rPr>
          <w:rFonts w:ascii="宋体" w:hAnsi="宋体" w:eastAsia="宋体"/>
          <w:color w:val="000000"/>
          <w:szCs w:val="24"/>
          <w:highlight w:val="none"/>
        </w:rPr>
      </w:pPr>
      <w:r>
        <w:rPr>
          <w:rFonts w:hint="eastAsia" w:ascii="宋体" w:hAnsi="宋体" w:eastAsia="宋体"/>
          <w:color w:val="000000"/>
          <w:szCs w:val="24"/>
          <w:highlight w:val="none"/>
        </w:rPr>
        <w:t>本年度在</w:t>
      </w:r>
      <w:r>
        <w:rPr>
          <w:rFonts w:ascii="宋体" w:hAnsi="宋体" w:eastAsia="宋体"/>
          <w:color w:val="000000"/>
          <w:szCs w:val="24"/>
          <w:highlight w:val="none"/>
        </w:rPr>
        <w:t>全国2</w:t>
      </w:r>
      <w:r>
        <w:rPr>
          <w:rFonts w:hint="eastAsia" w:ascii="宋体" w:hAnsi="宋体" w:eastAsia="宋体"/>
          <w:color w:val="000000"/>
          <w:szCs w:val="24"/>
          <w:highlight w:val="none"/>
          <w:lang w:eastAsia="zh-CN"/>
        </w:rPr>
        <w:t>8</w:t>
      </w:r>
      <w:r>
        <w:rPr>
          <w:rFonts w:ascii="宋体" w:hAnsi="宋体" w:eastAsia="宋体"/>
          <w:color w:val="000000"/>
          <w:szCs w:val="24"/>
          <w:highlight w:val="none"/>
        </w:rPr>
        <w:t>个省</w:t>
      </w:r>
      <w:r>
        <w:rPr>
          <w:rFonts w:hint="eastAsia" w:ascii="宋体" w:hAnsi="宋体" w:eastAsia="宋体"/>
          <w:color w:val="000000"/>
          <w:szCs w:val="24"/>
          <w:highlight w:val="none"/>
          <w:lang w:val="en-US" w:eastAsia="zh-CN"/>
        </w:rPr>
        <w:t>份和</w:t>
      </w:r>
      <w:r>
        <w:rPr>
          <w:rFonts w:ascii="宋体" w:hAnsi="宋体" w:eastAsia="宋体"/>
          <w:color w:val="000000"/>
          <w:szCs w:val="24"/>
          <w:highlight w:val="none"/>
        </w:rPr>
        <w:t>兵团</w:t>
      </w:r>
      <w:r>
        <w:rPr>
          <w:rFonts w:hint="eastAsia" w:ascii="宋体" w:hAnsi="宋体" w:eastAsia="宋体"/>
          <w:color w:val="000000"/>
          <w:szCs w:val="24"/>
          <w:highlight w:val="none"/>
        </w:rPr>
        <w:t>的</w:t>
      </w:r>
      <w:r>
        <w:rPr>
          <w:rFonts w:hint="eastAsia" w:ascii="宋体" w:hAnsi="宋体" w:eastAsia="宋体"/>
          <w:color w:val="000000"/>
          <w:szCs w:val="24"/>
          <w:highlight w:val="none"/>
          <w:lang w:eastAsia="zh-CN"/>
        </w:rPr>
        <w:t>7</w:t>
      </w:r>
      <w:r>
        <w:rPr>
          <w:rFonts w:hint="eastAsia" w:ascii="宋体" w:hAnsi="宋体" w:eastAsia="宋体"/>
          <w:color w:val="000000"/>
          <w:szCs w:val="24"/>
          <w:highlight w:val="none"/>
          <w:lang w:val="en-US" w:eastAsia="zh-CN"/>
        </w:rPr>
        <w:t>3777个村</w:t>
      </w:r>
      <w:r>
        <w:rPr>
          <w:rFonts w:ascii="宋体" w:hAnsi="宋体" w:eastAsia="宋体"/>
          <w:color w:val="000000"/>
          <w:szCs w:val="24"/>
          <w:highlight w:val="none"/>
        </w:rPr>
        <w:t>开展了饮水型地方性氟中毒监测工作。</w:t>
      </w:r>
    </w:p>
    <w:p>
      <w:pPr>
        <w:pStyle w:val="11"/>
        <w:spacing w:line="360" w:lineRule="auto"/>
        <w:ind w:firstLine="480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2．主要结果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（</w:t>
      </w:r>
      <w:r>
        <w:rPr>
          <w:rFonts w:hint="eastAsia" w:ascii="宋体" w:hAnsi="宋体"/>
          <w:sz w:val="24"/>
          <w:highlight w:val="none"/>
        </w:rPr>
        <w:t>1</w:t>
      </w:r>
      <w:r>
        <w:rPr>
          <w:rFonts w:ascii="宋体" w:hAnsi="宋体"/>
          <w:sz w:val="24"/>
          <w:highlight w:val="none"/>
        </w:rPr>
        <w:t>）</w:t>
      </w:r>
      <w:r>
        <w:rPr>
          <w:rFonts w:hint="eastAsia" w:ascii="宋体" w:hAnsi="宋体"/>
          <w:sz w:val="24"/>
          <w:highlight w:val="none"/>
        </w:rPr>
        <w:t>改水工程落实进度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本年度在28个省及兵团共监测了73777个病区村，其中已改水村数70064个，占病区村总数的95.0％。北京、浙江、福建、江西、湖北、湖南、广东、重庆、青海、宁夏、新疆和西藏等12个省和兵团改水率为100%。改水率在90-100%的有13个省，分别是山西（99.9%）、江苏（99.9%）、黑龙江（99.7%）、甘肃（99.4%）、河南（99.1%）、山东（98.9%）、吉林（98.7%）、云南（98.5%）、广西（98.4%）、陕西（96.2%）、河北（92.1%）、辽宁（91.3%）和四川（90.9%）。改水率低于90%的省有3个，分别为安徽（88.5%）、天津（82.9%）和内蒙古（81.1%）。</w:t>
      </w:r>
      <w:r>
        <w:rPr>
          <w:rFonts w:hint="eastAsia" w:ascii="宋体" w:hAnsi="宋体"/>
          <w:sz w:val="24"/>
          <w:highlight w:val="none"/>
        </w:rPr>
        <w:t>在70064个改水村中，共监测了40478个改水工程，覆盖人口7986.7万人。其中正常运转工程</w:t>
      </w:r>
      <w:r>
        <w:rPr>
          <w:rFonts w:hint="eastAsia" w:ascii="宋体" w:hAnsi="宋体"/>
          <w:color w:val="000000"/>
          <w:sz w:val="24"/>
          <w:highlight w:val="none"/>
        </w:rPr>
        <w:t>38931</w:t>
      </w:r>
      <w:r>
        <w:rPr>
          <w:rFonts w:hint="eastAsia" w:ascii="宋体" w:hAnsi="宋体"/>
          <w:sz w:val="24"/>
          <w:highlight w:val="none"/>
        </w:rPr>
        <w:t>个，占监测工程的96.2％；间歇运转工程449个，占监测工程的1.1％；报废工程1098个，占监测工程的2.7%。江苏、浙江、湖南、广东、重庆、宁夏、新疆、西藏8个省和兵团的改水工程正常运转率达到100%；天津、河北等18个省的改水工程正常运转率在90%-100%之间；改水工程正常运转率低于90%的省有2个，分别是吉林（88.4%）和四川（82.2%）；报废工程数量较多的省有内蒙古（440个）、吉林（278个）、河南（198个）和辽宁（107个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（2）水氟含量</w:t>
      </w:r>
    </w:p>
    <w:p>
      <w:pPr>
        <w:pStyle w:val="12"/>
        <w:spacing w:line="360" w:lineRule="auto"/>
        <w:ind w:firstLine="480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本年度共监测70064个改水村，按照水氟含量1.2mg/L的标准判定，水氟含量合格的村有52630个，水氟合格率为75.1%。其中，北京、浙江、福建、江西、湖南、广东、广西、重庆和西藏等9个省水氟合格率为100%；甘肃（99.6%）、湖北（99.5%）、青海（99.4%）、新疆（99.0%）、山西（96.0%）、宁夏（92.5%）、辽宁（91.8%）、云南（90.6%）和江苏（90.3%）9个省和兵团（96.8%）水氟合格率在90%-100%之间；吉林（88.8%）、陕西（86.2%）、四川（84.4%）和黑龙江（84.3%）4个省水氟合格率在80%-90%之间；河南（77.9%）、内蒙古（71.6%）和山东（71.5%）3个省水氟合格率在70%-80%之间；天津（61.5%）、安徽（39.8%）和河北（33.5%）3个省水氟合格率不足70%。</w:t>
      </w:r>
    </w:p>
    <w:p>
      <w:pPr>
        <w:pStyle w:val="12"/>
        <w:spacing w:line="360" w:lineRule="auto"/>
        <w:ind w:firstLine="480"/>
        <w:rPr>
          <w:rFonts w:eastAsia="宋体" w:cs="Times New Roman"/>
          <w:sz w:val="24"/>
          <w:szCs w:val="22"/>
        </w:rPr>
      </w:pPr>
      <w:r>
        <w:rPr>
          <w:rFonts w:eastAsia="宋体" w:cs="Times New Roman"/>
          <w:sz w:val="24"/>
          <w:szCs w:val="24"/>
        </w:rPr>
        <w:t>本</w:t>
      </w:r>
      <w:r>
        <w:rPr>
          <w:rFonts w:eastAsia="宋体" w:cs="Times New Roman"/>
          <w:sz w:val="24"/>
          <w:szCs w:val="22"/>
        </w:rPr>
        <w:t>年度共监测未改水村3713个，占总病区村的5.0%，覆盖人口数为212.6万人。其中，水氟浓度≤1.5mg/L的村有2405个，占未改水监测村的64.8％；水氟浓度＞1.5mg/L且≤2.0mg/L的村有400个，占未改水监测村的10.8％；水氟浓度＞2.0mg/L且≤4.0mg/L的村有620个，占未改水监测村的16.7％；水氟浓度超过4.0mg/L的村有288个，占未改水监测村的7.8%。结果见表</w:t>
      </w:r>
      <w:r>
        <w:rPr>
          <w:rFonts w:hint="eastAsia" w:eastAsia="宋体" w:cs="Times New Roman"/>
          <w:sz w:val="24"/>
          <w:szCs w:val="22"/>
          <w:lang w:val="en-US" w:eastAsia="zh-CN"/>
        </w:rPr>
        <w:t>7</w:t>
      </w:r>
      <w:r>
        <w:rPr>
          <w:rFonts w:eastAsia="宋体" w:cs="Times New Roman"/>
          <w:sz w:val="24"/>
          <w:szCs w:val="22"/>
        </w:rPr>
        <w:t>。</w:t>
      </w:r>
    </w:p>
    <w:p>
      <w:pPr>
        <w:spacing w:line="360" w:lineRule="auto"/>
        <w:ind w:firstLine="422" w:firstLineChars="200"/>
        <w:jc w:val="center"/>
        <w:rPr>
          <w:rFonts w:hint="eastAsia"/>
          <w:b/>
          <w:sz w:val="21"/>
          <w:szCs w:val="21"/>
          <w:highlight w:val="none"/>
        </w:rPr>
      </w:pPr>
      <w:r>
        <w:rPr>
          <w:rFonts w:hint="eastAsia"/>
          <w:b/>
          <w:sz w:val="21"/>
          <w:szCs w:val="21"/>
          <w:highlight w:val="none"/>
        </w:rPr>
        <w:t>表</w:t>
      </w:r>
      <w:r>
        <w:rPr>
          <w:rFonts w:hint="eastAsia"/>
          <w:b/>
          <w:sz w:val="21"/>
          <w:szCs w:val="21"/>
          <w:highlight w:val="none"/>
          <w:lang w:val="en-US" w:eastAsia="zh-CN"/>
        </w:rPr>
        <w:t>7</w:t>
      </w:r>
      <w:r>
        <w:rPr>
          <w:rFonts w:hint="eastAsia"/>
          <w:b/>
          <w:sz w:val="21"/>
          <w:szCs w:val="21"/>
          <w:highlight w:val="none"/>
        </w:rPr>
        <w:t>未改水村水氟分布情况</w:t>
      </w:r>
    </w:p>
    <w:tbl>
      <w:tblPr>
        <w:tblW w:w="7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705"/>
        <w:gridCol w:w="932"/>
        <w:gridCol w:w="433"/>
        <w:gridCol w:w="527"/>
        <w:gridCol w:w="20"/>
        <w:gridCol w:w="558"/>
        <w:gridCol w:w="912"/>
        <w:gridCol w:w="56"/>
        <w:gridCol w:w="588"/>
        <w:gridCol w:w="883"/>
        <w:gridCol w:w="39"/>
        <w:gridCol w:w="434"/>
        <w:gridCol w:w="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4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未改水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村数</w:t>
            </w:r>
          </w:p>
        </w:tc>
        <w:tc>
          <w:tcPr>
            <w:tcW w:w="93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未改水村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人口数</w:t>
            </w:r>
          </w:p>
        </w:tc>
        <w:tc>
          <w:tcPr>
            <w:tcW w:w="960" w:type="dxa"/>
            <w:gridSpan w:val="2"/>
            <w:tcBorders>
              <w:top w:val="single" w:color="auto" w:sz="12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水氟含量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&lt;=1.5mg/L</w:t>
            </w:r>
          </w:p>
        </w:tc>
        <w:tc>
          <w:tcPr>
            <w:tcW w:w="2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水氟含量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（1.5-2.0]mg/L</w:t>
            </w:r>
          </w:p>
        </w:tc>
        <w:tc>
          <w:tcPr>
            <w:tcW w:w="5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水氟含量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（2.0-4.0]mg/L</w:t>
            </w:r>
          </w:p>
        </w:tc>
        <w:tc>
          <w:tcPr>
            <w:tcW w:w="3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水氟含量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&gt;4.0mg/L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8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村数</w:t>
            </w:r>
          </w:p>
        </w:tc>
        <w:tc>
          <w:tcPr>
            <w:tcW w:w="52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村数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村数</w:t>
            </w:r>
          </w:p>
        </w:tc>
        <w:tc>
          <w:tcPr>
            <w:tcW w:w="883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村数</w:t>
            </w:r>
          </w:p>
        </w:tc>
        <w:tc>
          <w:tcPr>
            <w:tcW w:w="4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840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天津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517081</w:t>
            </w:r>
          </w:p>
        </w:tc>
        <w:tc>
          <w:tcPr>
            <w:tcW w:w="433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527" w:type="dxa"/>
            <w:tcBorders>
              <w:top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17.6</w:t>
            </w:r>
          </w:p>
        </w:tc>
        <w:tc>
          <w:tcPr>
            <w:tcW w:w="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12" w:type="dxa"/>
            <w:tcBorders>
              <w:top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18.7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883" w:type="dxa"/>
            <w:tcBorders>
              <w:top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52.41</w:t>
            </w:r>
          </w:p>
        </w:tc>
        <w:tc>
          <w:tcPr>
            <w:tcW w:w="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421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河北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672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648894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30.8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28.72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山西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3275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内蒙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1802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405909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1477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82.0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8.49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辽宁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98063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98.6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0.46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7372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44.7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28.9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26.32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895</w:t>
            </w:r>
          </w:p>
        </w:tc>
        <w:tc>
          <w:tcPr>
            <w:tcW w:w="4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50.0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33.33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江苏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5358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安徽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137142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63.3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27.1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9.55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96222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83.5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10.68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81579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40.8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33.6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25.66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广西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4665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9666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55.6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11.1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33.33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100.0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</w:t>
            </w:r>
          </w:p>
        </w:tc>
        <w:tc>
          <w:tcPr>
            <w:tcW w:w="705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9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101433</w:t>
            </w:r>
          </w:p>
        </w:tc>
        <w:tc>
          <w:tcPr>
            <w:tcW w:w="433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527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90.4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12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2.22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  <w:jc w:val="center"/>
        </w:trPr>
        <w:tc>
          <w:tcPr>
            <w:tcW w:w="840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甘肃</w:t>
            </w:r>
          </w:p>
        </w:tc>
        <w:tc>
          <w:tcPr>
            <w:tcW w:w="705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32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8253</w:t>
            </w:r>
          </w:p>
        </w:tc>
        <w:tc>
          <w:tcPr>
            <w:tcW w:w="433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27" w:type="dxa"/>
            <w:tcBorders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76.9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15.4</w:t>
            </w:r>
          </w:p>
        </w:tc>
        <w:tc>
          <w:tcPr>
            <w:tcW w:w="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7.69</w:t>
            </w:r>
          </w:p>
        </w:tc>
        <w:tc>
          <w:tcPr>
            <w:tcW w:w="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705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3713</w:t>
            </w:r>
          </w:p>
        </w:tc>
        <w:tc>
          <w:tcPr>
            <w:tcW w:w="932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2126070</w:t>
            </w:r>
          </w:p>
        </w:tc>
        <w:tc>
          <w:tcPr>
            <w:tcW w:w="433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2405</w:t>
            </w:r>
          </w:p>
        </w:tc>
        <w:tc>
          <w:tcPr>
            <w:tcW w:w="527" w:type="dxa"/>
            <w:tcBorders>
              <w:top w:val="single" w:color="auto" w:sz="4" w:space="0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64.8</w:t>
            </w:r>
          </w:p>
        </w:tc>
        <w:tc>
          <w:tcPr>
            <w:tcW w:w="2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10.8</w:t>
            </w:r>
          </w:p>
        </w:tc>
        <w:tc>
          <w:tcPr>
            <w:tcW w:w="56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620</w:t>
            </w:r>
          </w:p>
        </w:tc>
        <w:tc>
          <w:tcPr>
            <w:tcW w:w="883" w:type="dxa"/>
            <w:tcBorders>
              <w:top w:val="single" w:color="auto" w:sz="4" w:space="0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16.69</w:t>
            </w:r>
          </w:p>
        </w:tc>
        <w:tc>
          <w:tcPr>
            <w:tcW w:w="39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288</w:t>
            </w:r>
          </w:p>
        </w:tc>
        <w:tc>
          <w:tcPr>
            <w:tcW w:w="421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7.8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（</w:t>
      </w:r>
      <w:r>
        <w:rPr>
          <w:rFonts w:hint="eastAsia" w:ascii="宋体" w:hAnsi="宋体"/>
          <w:sz w:val="24"/>
          <w:highlight w:val="none"/>
        </w:rPr>
        <w:t>3</w:t>
      </w:r>
      <w:r>
        <w:rPr>
          <w:rFonts w:ascii="宋体" w:hAnsi="宋体"/>
          <w:sz w:val="24"/>
          <w:highlight w:val="none"/>
        </w:rPr>
        <w:t>）氟斑牙病情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sz w:val="24"/>
        </w:rPr>
        <w:t>本年度共检查了8～12周岁儿童氟斑牙2069852人，检出氟斑牙患者320627人，检出率为15.5%，氟斑牙指数为0.3，流行强度为无氟斑牙流行。其中，可疑病例204410例，占全部受检儿童的9.9％；极轻度163779例，占全部受检儿童的7.9％；轻度120997例，占全部受检儿童的5.8％；中度31790例，占全部受检儿童的1.5％；重度4061例，占全部受检儿童的0.2％。氟斑牙检出率超过30%的省份有3个，分别是西藏（40.2%）、天津（37.8%）和兵团（78.8%）。兵团只报了可疑病例和氟斑牙确诊儿童，所以检出率偏高，不作为参考；西藏由于只检查了271名儿童，样本量偏小，所以检出率偏高有一定偏倚；天津氟斑牙检出率偏高可能是由于其改水率、水氟合格率都偏低导致的。其他省份氟斑牙检出率均低于30%。</w:t>
      </w:r>
      <w:r>
        <w:rPr>
          <w:rFonts w:ascii="宋体" w:hAnsi="宋体"/>
          <w:sz w:val="24"/>
          <w:highlight w:val="none"/>
        </w:rPr>
        <w:t>结果</w:t>
      </w:r>
      <w:r>
        <w:rPr>
          <w:rFonts w:hint="eastAsia" w:ascii="宋体" w:hAnsi="宋体"/>
          <w:sz w:val="24"/>
          <w:highlight w:val="none"/>
        </w:rPr>
        <w:t>见表</w:t>
      </w:r>
      <w:r>
        <w:rPr>
          <w:rFonts w:hint="eastAsia" w:ascii="宋体" w:hAnsi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spacing w:line="360" w:lineRule="auto"/>
        <w:ind w:firstLine="422" w:firstLineChars="200"/>
        <w:jc w:val="center"/>
        <w:rPr>
          <w:rFonts w:hint="default" w:ascii="宋体" w:hAnsi="宋体" w:eastAsia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highlight w:val="none"/>
          <w:lang w:val="en-US" w:eastAsia="zh-CN"/>
        </w:rPr>
        <w:t>表8  儿童氟斑牙检出情况</w:t>
      </w:r>
    </w:p>
    <w:tbl>
      <w:tblPr>
        <w:tblW w:w="7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1200"/>
        <w:gridCol w:w="1305"/>
        <w:gridCol w:w="1170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1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省份</w:t>
            </w:r>
          </w:p>
        </w:tc>
        <w:tc>
          <w:tcPr>
            <w:tcW w:w="1124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检查人数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正常人数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可疑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检出人数</w:t>
            </w:r>
          </w:p>
        </w:tc>
        <w:tc>
          <w:tcPr>
            <w:tcW w:w="142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检出率（%）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13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北京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5779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299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天津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144193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69148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20542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54503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河北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222506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147487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20941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54078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山西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119324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93123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11031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15170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内蒙古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118814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102409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7282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9123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辽宁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36542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32694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2135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1713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吉林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27830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23407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1047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3376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黑龙江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17808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14132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2339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1337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江苏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147332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106408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17459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23465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浙江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安徽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178437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100952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32024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45461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福建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2789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2561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76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江西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2336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2085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99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山东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289546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237304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26347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25895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河南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486132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368102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48406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69624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湖北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7121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6758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湖南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1755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1644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广东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64619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63183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952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广西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5183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4896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重庆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881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860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四川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4339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1112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云南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2687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西藏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96720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83137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6831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6752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陕西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35893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30713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2032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3148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甘肃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12373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10213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1294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866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青海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33840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30588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1912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1340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宁夏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新疆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1966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1550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兵团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124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109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40.2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2069852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1544815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204410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320627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18"/>
                <w:szCs w:val="18"/>
              </w:rPr>
              <w:t>15.5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3.</w:t>
      </w:r>
      <w:r>
        <w:rPr>
          <w:rFonts w:ascii="宋体" w:hAnsi="宋体"/>
          <w:sz w:val="24"/>
          <w:highlight w:val="none"/>
        </w:rPr>
        <w:t>主要结论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1</w:t>
      </w:r>
      <w:r>
        <w:rPr>
          <w:rFonts w:ascii="宋体" w:hAnsi="宋体"/>
          <w:sz w:val="24"/>
          <w:highlight w:val="none"/>
        </w:rPr>
        <w:t>）</w:t>
      </w:r>
      <w:r>
        <w:rPr>
          <w:rFonts w:hAnsi="宋体" w:eastAsia="宋体" w:cs="Times New Roman"/>
          <w:sz w:val="24"/>
          <w:szCs w:val="24"/>
        </w:rPr>
        <w:t>监测</w:t>
      </w:r>
      <w:r>
        <w:rPr>
          <w:rFonts w:hint="eastAsia" w:hAnsi="宋体" w:cs="Times New Roman"/>
          <w:sz w:val="24"/>
          <w:szCs w:val="24"/>
          <w:lang w:val="en-US" w:eastAsia="zh-CN"/>
        </w:rPr>
        <w:t>的</w:t>
      </w:r>
      <w:r>
        <w:rPr>
          <w:rFonts w:hint="eastAsia" w:hAnsi="宋体" w:eastAsia="宋体" w:cs="Times New Roman"/>
          <w:sz w:val="24"/>
          <w:szCs w:val="24"/>
        </w:rPr>
        <w:t>73777</w:t>
      </w:r>
      <w:r>
        <w:rPr>
          <w:rFonts w:hAnsi="宋体" w:eastAsia="宋体" w:cs="Times New Roman"/>
          <w:sz w:val="24"/>
          <w:szCs w:val="24"/>
        </w:rPr>
        <w:t>个</w:t>
      </w:r>
      <w:r>
        <w:rPr>
          <w:rFonts w:hint="eastAsia" w:hAnsi="宋体" w:eastAsia="宋体" w:cs="Times New Roman"/>
          <w:sz w:val="24"/>
          <w:szCs w:val="24"/>
        </w:rPr>
        <w:t>病区</w:t>
      </w:r>
      <w:r>
        <w:rPr>
          <w:rFonts w:hAnsi="宋体" w:eastAsia="宋体" w:cs="Times New Roman"/>
          <w:sz w:val="24"/>
          <w:szCs w:val="24"/>
        </w:rPr>
        <w:t>村</w:t>
      </w:r>
      <w:r>
        <w:rPr>
          <w:rFonts w:hint="eastAsia" w:hAnsi="宋体" w:cs="Times New Roman"/>
          <w:sz w:val="24"/>
          <w:szCs w:val="24"/>
          <w:lang w:val="en-US" w:eastAsia="zh-CN"/>
        </w:rPr>
        <w:t>中</w:t>
      </w:r>
      <w:r>
        <w:rPr>
          <w:rFonts w:hAnsi="宋体" w:eastAsia="宋体" w:cs="Times New Roman"/>
          <w:sz w:val="24"/>
          <w:szCs w:val="24"/>
        </w:rPr>
        <w:t>，已改水村数</w:t>
      </w:r>
      <w:r>
        <w:rPr>
          <w:rFonts w:hint="eastAsia" w:hAnsi="宋体" w:eastAsia="宋体" w:cs="Times New Roman"/>
          <w:sz w:val="24"/>
          <w:szCs w:val="24"/>
        </w:rPr>
        <w:t>70064</w:t>
      </w:r>
      <w:r>
        <w:rPr>
          <w:rFonts w:hAnsi="宋体" w:eastAsia="宋体" w:cs="Times New Roman"/>
          <w:sz w:val="24"/>
          <w:szCs w:val="24"/>
        </w:rPr>
        <w:t>个，占</w:t>
      </w:r>
      <w:r>
        <w:rPr>
          <w:rFonts w:hint="eastAsia" w:hAnsi="宋体" w:eastAsia="宋体" w:cs="Times New Roman"/>
          <w:sz w:val="24"/>
          <w:szCs w:val="24"/>
        </w:rPr>
        <w:t>病区村总</w:t>
      </w:r>
      <w:r>
        <w:rPr>
          <w:rFonts w:hAnsi="宋体" w:eastAsia="宋体" w:cs="Times New Roman"/>
          <w:sz w:val="24"/>
          <w:szCs w:val="24"/>
        </w:rPr>
        <w:t>数的</w:t>
      </w:r>
      <w:r>
        <w:rPr>
          <w:rFonts w:hint="eastAsia" w:hAnsi="宋体" w:eastAsia="宋体" w:cs="Times New Roman"/>
          <w:sz w:val="24"/>
          <w:szCs w:val="24"/>
        </w:rPr>
        <w:t>95.0</w:t>
      </w:r>
      <w:r>
        <w:rPr>
          <w:rFonts w:hAnsi="宋体" w:eastAsia="宋体" w:cs="Times New Roman"/>
          <w:sz w:val="24"/>
          <w:szCs w:val="24"/>
        </w:rPr>
        <w:t>％</w:t>
      </w:r>
      <w:r>
        <w:rPr>
          <w:rFonts w:hint="eastAsia" w:hAnsi="宋体" w:eastAsia="宋体" w:cs="Times New Roman"/>
          <w:sz w:val="24"/>
          <w:szCs w:val="24"/>
        </w:rPr>
        <w:t>。</w:t>
      </w:r>
      <w:r>
        <w:rPr>
          <w:rFonts w:hint="eastAsia" w:ascii="宋体" w:hAnsi="宋体"/>
          <w:sz w:val="24"/>
          <w:highlight w:val="none"/>
        </w:rPr>
        <w:t>在70064个改水村中，共监测了40478个改水工程，其中正常运转工程38931个，占监测工程的96.2％；</w:t>
      </w:r>
      <w:r>
        <w:rPr>
          <w:rFonts w:hint="eastAsia" w:hAnsi="宋体" w:eastAsia="宋体" w:cs="Times New Roman"/>
          <w:sz w:val="24"/>
          <w:szCs w:val="24"/>
        </w:rPr>
        <w:t>按照水氟含量1.2mg/L的标准判定，水氟含量合格的村有52630个，水氟合格率为75.1%。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ascii="宋体" w:hAnsi="宋体"/>
          <w:sz w:val="24"/>
          <w:highlight w:val="none"/>
        </w:rPr>
        <w:t>）</w:t>
      </w:r>
      <w:r>
        <w:rPr>
          <w:sz w:val="24"/>
        </w:rPr>
        <w:t>共检查了8～12周岁儿童氟斑牙2069852人，检出氟斑牙患者320627人，检出率为15.5%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流行强度为无氟斑牙流行。</w:t>
      </w:r>
      <w:r>
        <w:rPr>
          <w:rFonts w:ascii="宋体" w:hAnsi="宋体"/>
          <w:sz w:val="24"/>
          <w:highlight w:val="none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四</w:t>
      </w:r>
      <w:r>
        <w:rPr>
          <w:rFonts w:hint="eastAsia" w:ascii="宋体" w:hAnsi="宋体"/>
          <w:b/>
          <w:sz w:val="24"/>
          <w:highlight w:val="none"/>
        </w:rPr>
        <w:t>）燃煤污染型地方性氟中毒监测</w:t>
      </w:r>
    </w:p>
    <w:p>
      <w:pPr>
        <w:pStyle w:val="11"/>
        <w:spacing w:line="360" w:lineRule="auto"/>
        <w:ind w:firstLine="480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1.项目完成情况</w:t>
      </w:r>
    </w:p>
    <w:p>
      <w:pPr>
        <w:pStyle w:val="11"/>
        <w:spacing w:line="360" w:lineRule="auto"/>
        <w:ind w:firstLine="480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本年度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在全国12个省份的171个县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32299个病区村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/>
          <w:szCs w:val="24"/>
          <w:highlight w:val="none"/>
        </w:rPr>
        <w:t>燃煤污染型地方性氟中毒监测。</w:t>
      </w:r>
    </w:p>
    <w:p>
      <w:pPr>
        <w:pStyle w:val="11"/>
        <w:spacing w:line="360" w:lineRule="auto"/>
        <w:ind w:firstLine="480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2.主要结果</w:t>
      </w:r>
    </w:p>
    <w:p>
      <w:pPr>
        <w:pStyle w:val="11"/>
        <w:spacing w:line="360" w:lineRule="auto"/>
        <w:ind w:firstLine="480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（1）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改炉改灶情况</w:t>
      </w:r>
    </w:p>
    <w:p>
      <w:pPr>
        <w:pStyle w:val="12"/>
        <w:spacing w:line="360" w:lineRule="auto"/>
        <w:ind w:firstLine="480"/>
        <w:rPr>
          <w:rFonts w:hint="eastAsia" w:hAnsi="宋体" w:eastAsia="宋体" w:cs="Times New Roman"/>
          <w:sz w:val="24"/>
          <w:szCs w:val="24"/>
        </w:rPr>
      </w:pPr>
      <w:r>
        <w:rPr>
          <w:rFonts w:hAnsi="宋体" w:eastAsia="宋体" w:cs="Times New Roman"/>
          <w:sz w:val="24"/>
          <w:szCs w:val="24"/>
        </w:rPr>
        <w:t>本年度在</w:t>
      </w:r>
      <w:r>
        <w:rPr>
          <w:rFonts w:hint="eastAsia" w:hAnsi="宋体" w:eastAsia="宋体" w:cs="Times New Roman"/>
          <w:sz w:val="24"/>
          <w:szCs w:val="24"/>
        </w:rPr>
        <w:t>32299个病区村共入户调查了999535户</w:t>
      </w:r>
      <w:r>
        <w:rPr>
          <w:rFonts w:hAnsi="宋体" w:eastAsia="宋体" w:cs="Times New Roman"/>
          <w:sz w:val="24"/>
          <w:szCs w:val="24"/>
        </w:rPr>
        <w:t>，</w:t>
      </w:r>
      <w:r>
        <w:rPr>
          <w:rFonts w:hint="eastAsia" w:hAnsi="宋体" w:eastAsia="宋体" w:cs="Times New Roman"/>
          <w:sz w:val="24"/>
          <w:szCs w:val="24"/>
        </w:rPr>
        <w:t>约占病区总户数的10%，其中改良炉灶户为</w:t>
      </w:r>
      <w:r>
        <w:rPr>
          <w:rFonts w:hAnsi="宋体" w:eastAsia="宋体" w:cs="Times New Roman"/>
          <w:sz w:val="24"/>
          <w:szCs w:val="24"/>
        </w:rPr>
        <w:t>996400</w:t>
      </w:r>
      <w:r>
        <w:rPr>
          <w:rFonts w:hint="eastAsia" w:hAnsi="宋体" w:eastAsia="宋体" w:cs="Times New Roman"/>
          <w:sz w:val="24"/>
          <w:szCs w:val="24"/>
        </w:rPr>
        <w:t>户，改良炉灶率为</w:t>
      </w:r>
      <w:r>
        <w:rPr>
          <w:rFonts w:hAnsi="宋体" w:eastAsia="宋体" w:cs="Times New Roman"/>
          <w:sz w:val="24"/>
          <w:szCs w:val="24"/>
        </w:rPr>
        <w:t>99.69%；</w:t>
      </w:r>
      <w:r>
        <w:rPr>
          <w:rFonts w:hint="eastAsia" w:hAnsi="宋体" w:eastAsia="宋体" w:cs="Times New Roman"/>
          <w:sz w:val="24"/>
          <w:szCs w:val="24"/>
        </w:rPr>
        <w:t>合格改良炉灶户为</w:t>
      </w:r>
      <w:r>
        <w:rPr>
          <w:rFonts w:hAnsi="宋体" w:eastAsia="宋体" w:cs="Times New Roman"/>
          <w:sz w:val="24"/>
          <w:szCs w:val="24"/>
        </w:rPr>
        <w:t>969433，</w:t>
      </w:r>
      <w:r>
        <w:rPr>
          <w:rFonts w:hint="eastAsia" w:hAnsi="宋体" w:eastAsia="宋体" w:cs="Times New Roman"/>
          <w:sz w:val="24"/>
          <w:szCs w:val="24"/>
        </w:rPr>
        <w:t>合格改良炉灶率</w:t>
      </w:r>
      <w:r>
        <w:rPr>
          <w:rFonts w:hAnsi="宋体" w:eastAsia="宋体" w:cs="Times New Roman"/>
          <w:sz w:val="24"/>
          <w:szCs w:val="24"/>
        </w:rPr>
        <w:t>96.99%；</w:t>
      </w:r>
      <w:r>
        <w:rPr>
          <w:rFonts w:hint="eastAsia" w:hAnsi="宋体" w:eastAsia="宋体" w:cs="Times New Roman"/>
          <w:bCs/>
          <w:sz w:val="24"/>
          <w:szCs w:val="24"/>
        </w:rPr>
        <w:t>合格改良炉灶正确使用户数</w:t>
      </w:r>
      <w:r>
        <w:rPr>
          <w:rFonts w:hAnsi="宋体" w:eastAsia="宋体" w:cs="Times New Roman"/>
          <w:bCs/>
          <w:sz w:val="24"/>
          <w:szCs w:val="24"/>
        </w:rPr>
        <w:t>965740</w:t>
      </w:r>
      <w:r>
        <w:rPr>
          <w:rFonts w:hint="eastAsia" w:hAnsi="宋体" w:eastAsia="宋体" w:cs="Times New Roman"/>
          <w:bCs/>
          <w:sz w:val="24"/>
          <w:szCs w:val="24"/>
        </w:rPr>
        <w:t>户，合格改良炉灶正确使用率为</w:t>
      </w:r>
      <w:r>
        <w:rPr>
          <w:rFonts w:hAnsi="宋体" w:eastAsia="宋体" w:cs="Times New Roman"/>
          <w:bCs/>
          <w:sz w:val="24"/>
          <w:szCs w:val="24"/>
        </w:rPr>
        <w:t>99.62</w:t>
      </w:r>
      <w:r>
        <w:rPr>
          <w:rFonts w:hint="eastAsia" w:hAnsi="宋体" w:eastAsia="宋体" w:cs="Times New Roman"/>
          <w:bCs/>
          <w:sz w:val="24"/>
          <w:szCs w:val="24"/>
        </w:rPr>
        <w:t>%。</w:t>
      </w:r>
      <w:r>
        <w:rPr>
          <w:rFonts w:hint="eastAsia" w:hAnsi="宋体" w:eastAsia="宋体" w:cs="Times New Roman"/>
          <w:sz w:val="24"/>
          <w:szCs w:val="24"/>
        </w:rPr>
        <w:t>从各种炉灶类型来看，全国调查的999535户中，</w:t>
      </w:r>
      <w:r>
        <w:rPr>
          <w:rFonts w:hAnsi="宋体" w:eastAsia="宋体" w:cs="Times New Roman"/>
          <w:sz w:val="24"/>
          <w:szCs w:val="24"/>
        </w:rPr>
        <w:t>使用</w:t>
      </w:r>
      <w:r>
        <w:rPr>
          <w:rFonts w:hint="eastAsia" w:hAnsi="宋体" w:eastAsia="宋体" w:cs="Times New Roman"/>
          <w:sz w:val="24"/>
          <w:szCs w:val="24"/>
        </w:rPr>
        <w:t>改良煤炉（灶）</w:t>
      </w:r>
      <w:r>
        <w:rPr>
          <w:rFonts w:hint="eastAsia" w:eastAsia="宋体" w:cs="Times New Roman"/>
          <w:sz w:val="24"/>
          <w:szCs w:val="24"/>
        </w:rPr>
        <w:t>694962</w:t>
      </w:r>
      <w:r>
        <w:rPr>
          <w:rFonts w:hAnsi="宋体" w:eastAsia="宋体" w:cs="Times New Roman"/>
          <w:sz w:val="24"/>
          <w:szCs w:val="24"/>
        </w:rPr>
        <w:t>户，占</w:t>
      </w:r>
      <w:r>
        <w:rPr>
          <w:rFonts w:hint="eastAsia" w:eastAsia="宋体" w:cs="Times New Roman"/>
          <w:sz w:val="24"/>
          <w:szCs w:val="24"/>
        </w:rPr>
        <w:t>69.53</w:t>
      </w:r>
      <w:r>
        <w:rPr>
          <w:rFonts w:hAnsi="宋体" w:eastAsia="宋体" w:cs="Times New Roman"/>
          <w:sz w:val="24"/>
          <w:szCs w:val="24"/>
        </w:rPr>
        <w:t>％；</w:t>
      </w:r>
      <w:r>
        <w:rPr>
          <w:rFonts w:hint="eastAsia" w:hAnsi="宋体" w:eastAsia="宋体" w:cs="Times New Roman"/>
          <w:sz w:val="24"/>
          <w:szCs w:val="24"/>
        </w:rPr>
        <w:t>使用电热器、电炊具等清洁能源灶具</w:t>
      </w:r>
      <w:r>
        <w:rPr>
          <w:rFonts w:eastAsia="宋体" w:cs="Times New Roman"/>
          <w:sz w:val="24"/>
          <w:szCs w:val="24"/>
        </w:rPr>
        <w:t>920905</w:t>
      </w:r>
      <w:r>
        <w:rPr>
          <w:rFonts w:hAnsi="宋体" w:eastAsia="宋体" w:cs="Times New Roman"/>
          <w:sz w:val="24"/>
          <w:szCs w:val="24"/>
        </w:rPr>
        <w:t>户，占</w:t>
      </w:r>
      <w:r>
        <w:rPr>
          <w:rFonts w:eastAsia="宋体" w:cs="Times New Roman"/>
          <w:sz w:val="24"/>
          <w:szCs w:val="24"/>
        </w:rPr>
        <w:t>92.13</w:t>
      </w:r>
      <w:r>
        <w:rPr>
          <w:rFonts w:hAnsi="宋体" w:eastAsia="宋体" w:cs="Times New Roman"/>
          <w:sz w:val="24"/>
          <w:szCs w:val="24"/>
        </w:rPr>
        <w:t>％；</w:t>
      </w:r>
      <w:r>
        <w:rPr>
          <w:rFonts w:hint="eastAsia" w:hAnsi="宋体" w:eastAsia="宋体" w:cs="Times New Roman"/>
          <w:sz w:val="24"/>
          <w:szCs w:val="24"/>
        </w:rPr>
        <w:t>使用其他灶具</w:t>
      </w:r>
      <w:r>
        <w:rPr>
          <w:rFonts w:eastAsia="宋体" w:cs="Times New Roman"/>
          <w:sz w:val="24"/>
          <w:szCs w:val="24"/>
        </w:rPr>
        <w:t>166649</w:t>
      </w:r>
      <w:r>
        <w:rPr>
          <w:rFonts w:hAnsi="宋体" w:eastAsia="宋体" w:cs="Times New Roman"/>
          <w:sz w:val="24"/>
          <w:szCs w:val="24"/>
        </w:rPr>
        <w:t>户，占</w:t>
      </w:r>
      <w:r>
        <w:rPr>
          <w:rFonts w:eastAsia="宋体" w:cs="Times New Roman"/>
          <w:sz w:val="24"/>
          <w:szCs w:val="24"/>
        </w:rPr>
        <w:t>16.67%</w:t>
      </w:r>
      <w:r>
        <w:rPr>
          <w:rFonts w:hAnsi="宋体" w:eastAsia="宋体" w:cs="Times New Roman"/>
          <w:sz w:val="24"/>
          <w:szCs w:val="24"/>
        </w:rPr>
        <w:t>；</w:t>
      </w:r>
      <w:r>
        <w:rPr>
          <w:rFonts w:hint="eastAsia" w:hAnsi="宋体" w:eastAsia="宋体" w:cs="Times New Roman"/>
          <w:sz w:val="24"/>
          <w:szCs w:val="24"/>
        </w:rPr>
        <w:t>使用</w:t>
      </w:r>
      <w:r>
        <w:rPr>
          <w:rFonts w:hAnsi="宋体" w:eastAsia="宋体" w:cs="Times New Roman"/>
          <w:sz w:val="24"/>
          <w:szCs w:val="24"/>
        </w:rPr>
        <w:t>敞</w:t>
      </w:r>
      <w:r>
        <w:rPr>
          <w:rFonts w:hint="eastAsia" w:hAnsi="宋体" w:eastAsia="宋体" w:cs="Times New Roman"/>
          <w:sz w:val="24"/>
          <w:szCs w:val="24"/>
        </w:rPr>
        <w:t>炉（灶）</w:t>
      </w:r>
      <w:r>
        <w:rPr>
          <w:rFonts w:eastAsia="宋体" w:cs="Times New Roman"/>
          <w:sz w:val="24"/>
          <w:szCs w:val="24"/>
        </w:rPr>
        <w:t>15578</w:t>
      </w:r>
      <w:r>
        <w:rPr>
          <w:rFonts w:hAnsi="宋体" w:eastAsia="宋体" w:cs="Times New Roman"/>
          <w:sz w:val="24"/>
          <w:szCs w:val="24"/>
        </w:rPr>
        <w:t>户，占</w:t>
      </w:r>
      <w:r>
        <w:rPr>
          <w:rFonts w:eastAsia="宋体" w:cs="Times New Roman"/>
          <w:sz w:val="24"/>
          <w:szCs w:val="24"/>
        </w:rPr>
        <w:t>1.56 %</w:t>
      </w:r>
      <w:r>
        <w:rPr>
          <w:rFonts w:hAnsi="宋体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Ansi="宋体"/>
          <w:sz w:val="24"/>
          <w:highlight w:val="none"/>
        </w:rPr>
        <w:t>（</w:t>
      </w:r>
      <w:r>
        <w:rPr>
          <w:rFonts w:hint="eastAsia" w:hAnsi="宋体"/>
          <w:sz w:val="24"/>
          <w:highlight w:val="none"/>
        </w:rPr>
        <w:t>2</w:t>
      </w:r>
      <w:r>
        <w:rPr>
          <w:rFonts w:hAnsi="宋体"/>
          <w:sz w:val="24"/>
          <w:highlight w:val="none"/>
        </w:rPr>
        <w:t>）相关</w:t>
      </w:r>
      <w:r>
        <w:rPr>
          <w:rFonts w:hint="eastAsia" w:hAnsi="宋体"/>
          <w:sz w:val="24"/>
          <w:highlight w:val="none"/>
          <w:lang w:val="en-US" w:eastAsia="zh-CN"/>
        </w:rPr>
        <w:t>健康生活</w:t>
      </w:r>
      <w:r>
        <w:rPr>
          <w:rFonts w:hAnsi="宋体"/>
          <w:sz w:val="24"/>
          <w:highlight w:val="none"/>
        </w:rPr>
        <w:t>行为形成情况</w:t>
      </w:r>
    </w:p>
    <w:p>
      <w:pPr>
        <w:pStyle w:val="12"/>
        <w:spacing w:line="360" w:lineRule="auto"/>
        <w:ind w:firstLine="480"/>
        <w:rPr>
          <w:rFonts w:hAnsi="宋体" w:eastAsia="宋体" w:cs="Times New Roman"/>
          <w:bCs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全国调查的999535户中，有648662户食用玉米，玉米的食用率为64.90%。调查的全部居民户中，正确干燥食用玉米的有988208户，正确干</w:t>
      </w:r>
      <w:r>
        <w:rPr>
          <w:rFonts w:hAnsi="宋体" w:eastAsia="宋体" w:cs="Times New Roman"/>
          <w:bCs/>
          <w:sz w:val="24"/>
          <w:szCs w:val="24"/>
        </w:rPr>
        <w:t>燥率为98.87%，正确保管</w:t>
      </w:r>
      <w:r>
        <w:rPr>
          <w:rFonts w:hint="eastAsia" w:hAnsi="宋体" w:eastAsia="宋体" w:cs="Times New Roman"/>
          <w:bCs/>
          <w:sz w:val="24"/>
          <w:szCs w:val="24"/>
        </w:rPr>
        <w:t>玉米</w:t>
      </w:r>
      <w:r>
        <w:rPr>
          <w:rFonts w:hAnsi="宋体" w:eastAsia="宋体" w:cs="Times New Roman"/>
          <w:bCs/>
          <w:sz w:val="24"/>
          <w:szCs w:val="24"/>
        </w:rPr>
        <w:t>的</w:t>
      </w:r>
      <w:r>
        <w:rPr>
          <w:rFonts w:hint="eastAsia" w:hAnsi="宋体" w:eastAsia="宋体" w:cs="Times New Roman"/>
          <w:bCs/>
          <w:sz w:val="24"/>
          <w:szCs w:val="24"/>
        </w:rPr>
        <w:t>有</w:t>
      </w:r>
      <w:r>
        <w:rPr>
          <w:rFonts w:hAnsi="宋体" w:eastAsia="宋体" w:cs="Times New Roman"/>
          <w:bCs/>
          <w:sz w:val="24"/>
          <w:szCs w:val="24"/>
        </w:rPr>
        <w:t>961485户，正确保管率为96.19%，</w:t>
      </w:r>
      <w:r>
        <w:rPr>
          <w:rFonts w:hAnsi="宋体" w:eastAsia="宋体" w:cs="Times New Roman"/>
          <w:sz w:val="24"/>
          <w:szCs w:val="24"/>
        </w:rPr>
        <w:t>加工前淘洗的有</w:t>
      </w:r>
      <w:r>
        <w:rPr>
          <w:rFonts w:hAnsi="宋体" w:eastAsia="宋体" w:cs="Times New Roman"/>
          <w:bCs/>
          <w:sz w:val="24"/>
          <w:szCs w:val="24"/>
        </w:rPr>
        <w:t>980449户，</w:t>
      </w:r>
      <w:r>
        <w:rPr>
          <w:rFonts w:hAnsi="宋体" w:eastAsia="宋体" w:cs="Times New Roman"/>
          <w:sz w:val="24"/>
          <w:szCs w:val="24"/>
        </w:rPr>
        <w:t>加工前淘洗率为</w:t>
      </w:r>
      <w:r>
        <w:rPr>
          <w:rFonts w:hAnsi="宋体" w:eastAsia="宋体" w:cs="Times New Roman"/>
          <w:bCs/>
          <w:sz w:val="24"/>
          <w:szCs w:val="24"/>
        </w:rPr>
        <w:t>98.09%。正确干燥辣椒的</w:t>
      </w:r>
      <w:r>
        <w:rPr>
          <w:rFonts w:hint="eastAsia" w:hAnsi="宋体" w:eastAsia="宋体" w:cs="Times New Roman"/>
          <w:bCs/>
          <w:sz w:val="24"/>
          <w:szCs w:val="24"/>
        </w:rPr>
        <w:t>有</w:t>
      </w:r>
      <w:r>
        <w:rPr>
          <w:rFonts w:hAnsi="宋体" w:eastAsia="宋体" w:cs="Times New Roman"/>
          <w:bCs/>
          <w:sz w:val="24"/>
          <w:szCs w:val="24"/>
        </w:rPr>
        <w:t>989524户，正确干燥率为99.00%，正确保管辣椒的930825户，正确保管率为93.13%，</w:t>
      </w:r>
      <w:r>
        <w:rPr>
          <w:rFonts w:hAnsi="宋体" w:eastAsia="宋体" w:cs="Times New Roman"/>
          <w:sz w:val="24"/>
          <w:szCs w:val="24"/>
        </w:rPr>
        <w:t>加工前淘洗的有</w:t>
      </w:r>
      <w:r>
        <w:rPr>
          <w:rFonts w:hAnsi="宋体" w:eastAsia="宋体" w:cs="Times New Roman"/>
          <w:bCs/>
          <w:sz w:val="24"/>
          <w:szCs w:val="24"/>
        </w:rPr>
        <w:t>922668户，</w:t>
      </w:r>
      <w:r>
        <w:rPr>
          <w:rFonts w:hAnsi="宋体" w:eastAsia="宋体" w:cs="Times New Roman"/>
          <w:sz w:val="24"/>
          <w:szCs w:val="24"/>
        </w:rPr>
        <w:t>加工前淘洗率为</w:t>
      </w:r>
      <w:r>
        <w:rPr>
          <w:rFonts w:hAnsi="宋体" w:eastAsia="宋体" w:cs="Times New Roman"/>
          <w:bCs/>
          <w:sz w:val="24"/>
          <w:szCs w:val="24"/>
        </w:rPr>
        <w:t>92.31%。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Ansi="宋体"/>
          <w:sz w:val="24"/>
          <w:highlight w:val="none"/>
        </w:rPr>
        <w:t>（</w:t>
      </w:r>
      <w:r>
        <w:rPr>
          <w:rFonts w:hint="eastAsia" w:hAnsi="宋体"/>
          <w:sz w:val="24"/>
          <w:highlight w:val="none"/>
        </w:rPr>
        <w:t>3</w:t>
      </w:r>
      <w:r>
        <w:rPr>
          <w:rFonts w:hAnsi="宋体"/>
          <w:sz w:val="24"/>
          <w:highlight w:val="none"/>
        </w:rPr>
        <w:t>）儿童氟斑牙病情</w:t>
      </w:r>
    </w:p>
    <w:p>
      <w:pPr>
        <w:pStyle w:val="12"/>
        <w:spacing w:line="360" w:lineRule="auto"/>
        <w:ind w:firstLine="480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本年度共</w:t>
      </w:r>
      <w:r>
        <w:rPr>
          <w:rFonts w:hAnsi="宋体" w:eastAsia="宋体" w:cs="Times New Roman"/>
          <w:sz w:val="24"/>
          <w:szCs w:val="24"/>
        </w:rPr>
        <w:t>检查</w:t>
      </w:r>
      <w:r>
        <w:rPr>
          <w:rFonts w:eastAsia="宋体" w:cs="Times New Roman"/>
          <w:sz w:val="24"/>
          <w:szCs w:val="24"/>
        </w:rPr>
        <w:t>8</w:t>
      </w:r>
      <w:r>
        <w:rPr>
          <w:rFonts w:hAnsi="宋体" w:eastAsia="宋体" w:cs="Times New Roman"/>
          <w:sz w:val="24"/>
          <w:szCs w:val="24"/>
        </w:rPr>
        <w:t>～</w:t>
      </w:r>
      <w:r>
        <w:rPr>
          <w:rFonts w:eastAsia="宋体" w:cs="Times New Roman"/>
          <w:sz w:val="24"/>
          <w:szCs w:val="24"/>
        </w:rPr>
        <w:t>12</w:t>
      </w:r>
      <w:r>
        <w:rPr>
          <w:rFonts w:hAnsi="宋体" w:eastAsia="宋体" w:cs="Times New Roman"/>
          <w:sz w:val="24"/>
          <w:szCs w:val="24"/>
        </w:rPr>
        <w:t>周岁儿童172</w:t>
      </w:r>
      <w:r>
        <w:rPr>
          <w:rFonts w:hint="eastAsia" w:hAnsi="宋体" w:eastAsia="宋体" w:cs="Times New Roman"/>
          <w:sz w:val="24"/>
          <w:szCs w:val="24"/>
        </w:rPr>
        <w:t>.</w:t>
      </w:r>
      <w:r>
        <w:rPr>
          <w:rFonts w:hAnsi="宋体" w:eastAsia="宋体" w:cs="Times New Roman"/>
          <w:sz w:val="24"/>
          <w:szCs w:val="24"/>
        </w:rPr>
        <w:t>3</w:t>
      </w:r>
      <w:r>
        <w:rPr>
          <w:rFonts w:hint="eastAsia" w:hAnsi="宋体" w:eastAsia="宋体" w:cs="Times New Roman"/>
          <w:sz w:val="24"/>
          <w:szCs w:val="24"/>
        </w:rPr>
        <w:t>8万</w:t>
      </w:r>
      <w:r>
        <w:rPr>
          <w:rFonts w:hAnsi="宋体" w:eastAsia="宋体" w:cs="Times New Roman"/>
          <w:sz w:val="24"/>
          <w:szCs w:val="24"/>
        </w:rPr>
        <w:t>人，检出氟斑牙患者</w:t>
      </w:r>
      <w:r>
        <w:rPr>
          <w:rFonts w:eastAsia="宋体" w:cs="Times New Roman"/>
          <w:sz w:val="24"/>
          <w:szCs w:val="24"/>
        </w:rPr>
        <w:t>77418</w:t>
      </w:r>
      <w:r>
        <w:rPr>
          <w:rFonts w:hAnsi="宋体" w:eastAsia="宋体" w:cs="Times New Roman"/>
          <w:sz w:val="24"/>
          <w:szCs w:val="24"/>
        </w:rPr>
        <w:t>例</w:t>
      </w:r>
      <w:r>
        <w:rPr>
          <w:rFonts w:hint="eastAsia" w:hAnsi="宋体" w:eastAsia="宋体" w:cs="Times New Roman"/>
          <w:sz w:val="24"/>
          <w:szCs w:val="24"/>
        </w:rPr>
        <w:t>，</w:t>
      </w:r>
      <w:r>
        <w:rPr>
          <w:rFonts w:hAnsi="宋体" w:eastAsia="宋体" w:cs="Times New Roman"/>
          <w:sz w:val="24"/>
          <w:szCs w:val="24"/>
        </w:rPr>
        <w:t>氟斑牙检出</w:t>
      </w:r>
      <w:r>
        <w:rPr>
          <w:rFonts w:hint="eastAsia" w:hAnsi="宋体" w:eastAsia="宋体" w:cs="Times New Roman"/>
          <w:sz w:val="24"/>
          <w:szCs w:val="24"/>
        </w:rPr>
        <w:t>率</w:t>
      </w:r>
      <w:r>
        <w:rPr>
          <w:rFonts w:hAnsi="宋体" w:eastAsia="宋体" w:cs="Times New Roman"/>
          <w:sz w:val="24"/>
          <w:szCs w:val="24"/>
        </w:rPr>
        <w:t>为</w:t>
      </w:r>
      <w:r>
        <w:rPr>
          <w:rFonts w:eastAsia="宋体" w:cs="Times New Roman"/>
          <w:sz w:val="24"/>
          <w:szCs w:val="24"/>
        </w:rPr>
        <w:t>4.49%</w:t>
      </w:r>
      <w:r>
        <w:rPr>
          <w:rFonts w:hAnsi="宋体" w:eastAsia="宋体" w:cs="Times New Roman"/>
          <w:sz w:val="24"/>
          <w:szCs w:val="24"/>
        </w:rPr>
        <w:t>，氟斑牙指数为</w:t>
      </w:r>
      <w:r>
        <w:rPr>
          <w:rFonts w:eastAsia="宋体" w:cs="Times New Roman"/>
          <w:sz w:val="24"/>
          <w:szCs w:val="24"/>
        </w:rPr>
        <w:t>0.09，</w:t>
      </w:r>
      <w:r>
        <w:rPr>
          <w:rFonts w:hint="eastAsia" w:eastAsia="宋体" w:cs="Times New Roman"/>
          <w:sz w:val="24"/>
          <w:szCs w:val="24"/>
        </w:rPr>
        <w:t>氟斑牙流行程度已经呈无流行状态</w:t>
      </w:r>
      <w:r>
        <w:rPr>
          <w:rFonts w:hAnsi="宋体" w:eastAsia="宋体" w:cs="Times New Roman"/>
          <w:sz w:val="24"/>
          <w:szCs w:val="24"/>
        </w:rPr>
        <w:t>。</w:t>
      </w:r>
      <w:r>
        <w:rPr>
          <w:rFonts w:hint="eastAsia" w:hAnsi="宋体" w:eastAsia="宋体" w:cs="Times New Roman"/>
          <w:sz w:val="24"/>
          <w:szCs w:val="24"/>
        </w:rPr>
        <w:t>另有可疑病例</w:t>
      </w:r>
      <w:r>
        <w:rPr>
          <w:rFonts w:hAnsi="宋体" w:eastAsia="宋体" w:cs="Times New Roman"/>
          <w:sz w:val="24"/>
          <w:szCs w:val="24"/>
        </w:rPr>
        <w:t>56935</w:t>
      </w:r>
      <w:r>
        <w:rPr>
          <w:rFonts w:hint="eastAsia" w:hAnsi="宋体" w:eastAsia="宋体" w:cs="Times New Roman"/>
          <w:sz w:val="24"/>
          <w:szCs w:val="24"/>
        </w:rPr>
        <w:t>例，占</w:t>
      </w:r>
      <w:r>
        <w:rPr>
          <w:rFonts w:hAnsi="宋体" w:eastAsia="宋体" w:cs="Times New Roman"/>
          <w:sz w:val="24"/>
          <w:szCs w:val="24"/>
        </w:rPr>
        <w:t>全部受检儿童的</w:t>
      </w:r>
      <w:r>
        <w:rPr>
          <w:rFonts w:hint="eastAsia" w:hAnsi="宋体" w:eastAsia="宋体" w:cs="Times New Roman"/>
          <w:sz w:val="24"/>
          <w:szCs w:val="24"/>
        </w:rPr>
        <w:t>3.30％。所有病例中，极轻度</w:t>
      </w:r>
      <w:r>
        <w:rPr>
          <w:rFonts w:hAnsi="宋体" w:eastAsia="宋体" w:cs="Times New Roman"/>
          <w:sz w:val="24"/>
          <w:szCs w:val="24"/>
        </w:rPr>
        <w:t>39194</w:t>
      </w:r>
      <w:r>
        <w:rPr>
          <w:rFonts w:hint="eastAsia" w:hAnsi="宋体" w:eastAsia="宋体" w:cs="Times New Roman"/>
          <w:sz w:val="24"/>
          <w:szCs w:val="24"/>
        </w:rPr>
        <w:t>例，</w:t>
      </w:r>
      <w:r>
        <w:rPr>
          <w:rFonts w:hAnsi="宋体" w:eastAsia="宋体" w:cs="Times New Roman"/>
          <w:sz w:val="24"/>
          <w:szCs w:val="24"/>
        </w:rPr>
        <w:t>占病例儿童的50.63</w:t>
      </w:r>
      <w:r>
        <w:rPr>
          <w:rFonts w:eastAsia="宋体" w:cs="Times New Roman"/>
          <w:sz w:val="24"/>
          <w:szCs w:val="24"/>
        </w:rPr>
        <w:t>%</w:t>
      </w:r>
      <w:r>
        <w:rPr>
          <w:rFonts w:hint="eastAsia" w:hAnsi="宋体" w:eastAsia="宋体" w:cs="Times New Roman"/>
          <w:sz w:val="24"/>
          <w:szCs w:val="24"/>
        </w:rPr>
        <w:t>；轻度</w:t>
      </w:r>
      <w:r>
        <w:rPr>
          <w:rFonts w:hAnsi="宋体" w:eastAsia="宋体" w:cs="Times New Roman"/>
          <w:sz w:val="24"/>
          <w:szCs w:val="24"/>
        </w:rPr>
        <w:t>30770</w:t>
      </w:r>
      <w:r>
        <w:rPr>
          <w:rFonts w:hint="eastAsia" w:hAnsi="宋体" w:eastAsia="宋体" w:cs="Times New Roman"/>
          <w:sz w:val="24"/>
          <w:szCs w:val="24"/>
        </w:rPr>
        <w:t>例，</w:t>
      </w:r>
      <w:r>
        <w:rPr>
          <w:rFonts w:hAnsi="宋体" w:eastAsia="宋体" w:cs="Times New Roman"/>
          <w:sz w:val="24"/>
          <w:szCs w:val="24"/>
        </w:rPr>
        <w:t>占病例儿童的39.75</w:t>
      </w:r>
      <w:r>
        <w:rPr>
          <w:rFonts w:eastAsia="宋体" w:cs="Times New Roman"/>
          <w:sz w:val="24"/>
          <w:szCs w:val="24"/>
        </w:rPr>
        <w:t>%</w:t>
      </w:r>
      <w:r>
        <w:rPr>
          <w:rFonts w:hint="eastAsia" w:hAnsi="宋体" w:eastAsia="宋体" w:cs="Times New Roman"/>
          <w:sz w:val="24"/>
          <w:szCs w:val="24"/>
        </w:rPr>
        <w:t>；中度</w:t>
      </w:r>
      <w:r>
        <w:rPr>
          <w:rFonts w:hAnsi="宋体" w:eastAsia="宋体" w:cs="Times New Roman"/>
          <w:sz w:val="24"/>
          <w:szCs w:val="24"/>
        </w:rPr>
        <w:t>6546</w:t>
      </w:r>
      <w:r>
        <w:rPr>
          <w:rFonts w:hint="eastAsia" w:hAnsi="宋体" w:eastAsia="宋体" w:cs="Times New Roman"/>
          <w:sz w:val="24"/>
          <w:szCs w:val="24"/>
        </w:rPr>
        <w:t>例，</w:t>
      </w:r>
      <w:r>
        <w:rPr>
          <w:rFonts w:hAnsi="宋体" w:eastAsia="宋体" w:cs="Times New Roman"/>
          <w:sz w:val="24"/>
          <w:szCs w:val="24"/>
        </w:rPr>
        <w:t>占病例儿童的8.46</w:t>
      </w:r>
      <w:r>
        <w:rPr>
          <w:rFonts w:eastAsia="宋体" w:cs="Times New Roman"/>
          <w:sz w:val="24"/>
          <w:szCs w:val="24"/>
        </w:rPr>
        <w:t>%</w:t>
      </w:r>
      <w:r>
        <w:rPr>
          <w:rFonts w:hint="eastAsia" w:hAnsi="宋体" w:eastAsia="宋体" w:cs="Times New Roman"/>
          <w:sz w:val="24"/>
          <w:szCs w:val="24"/>
        </w:rPr>
        <w:t>；重度</w:t>
      </w:r>
      <w:r>
        <w:rPr>
          <w:rFonts w:hAnsi="宋体" w:eastAsia="宋体" w:cs="Times New Roman"/>
          <w:sz w:val="24"/>
          <w:szCs w:val="24"/>
        </w:rPr>
        <w:t>908</w:t>
      </w:r>
      <w:r>
        <w:rPr>
          <w:rFonts w:hint="eastAsia" w:hAnsi="宋体" w:eastAsia="宋体" w:cs="Times New Roman"/>
          <w:sz w:val="24"/>
          <w:szCs w:val="24"/>
        </w:rPr>
        <w:t>例，</w:t>
      </w:r>
      <w:r>
        <w:rPr>
          <w:rFonts w:hAnsi="宋体" w:eastAsia="宋体" w:cs="Times New Roman"/>
          <w:sz w:val="24"/>
          <w:szCs w:val="24"/>
        </w:rPr>
        <w:t>占病例儿童的1.17</w:t>
      </w:r>
      <w:r>
        <w:rPr>
          <w:rFonts w:eastAsia="宋体" w:cs="Times New Roman"/>
          <w:sz w:val="24"/>
          <w:szCs w:val="24"/>
        </w:rPr>
        <w:t>%</w:t>
      </w:r>
      <w:r>
        <w:rPr>
          <w:rFonts w:hint="eastAsia" w:hAnsi="宋体" w:eastAsia="宋体" w:cs="Times New Roman"/>
          <w:sz w:val="24"/>
          <w:szCs w:val="24"/>
        </w:rPr>
        <w:t>。</w:t>
      </w:r>
      <w:r>
        <w:rPr>
          <w:rFonts w:hAnsi="宋体" w:eastAsia="宋体" w:cs="Times New Roman"/>
          <w:sz w:val="24"/>
          <w:szCs w:val="24"/>
        </w:rPr>
        <w:t>各省份</w:t>
      </w:r>
      <w:r>
        <w:rPr>
          <w:rFonts w:hint="eastAsia" w:hAnsi="宋体" w:eastAsia="宋体" w:cs="Times New Roman"/>
          <w:sz w:val="24"/>
          <w:szCs w:val="24"/>
        </w:rPr>
        <w:t>儿童氟斑牙检出率均在</w:t>
      </w:r>
      <w:r>
        <w:rPr>
          <w:rFonts w:hint="eastAsia" w:eastAsia="宋体" w:cs="Times New Roman"/>
          <w:sz w:val="24"/>
          <w:szCs w:val="24"/>
        </w:rPr>
        <w:t>15</w:t>
      </w:r>
      <w:r>
        <w:rPr>
          <w:rFonts w:eastAsia="宋体" w:cs="Times New Roman"/>
          <w:sz w:val="24"/>
          <w:szCs w:val="24"/>
        </w:rPr>
        <w:t>%</w:t>
      </w:r>
      <w:r>
        <w:rPr>
          <w:rFonts w:hAnsi="宋体" w:eastAsia="宋体" w:cs="Times New Roman"/>
          <w:sz w:val="24"/>
          <w:szCs w:val="24"/>
        </w:rPr>
        <w:t>以下（0～6.29%）。结果见表</w:t>
      </w:r>
      <w:r>
        <w:rPr>
          <w:rFonts w:hint="eastAsia" w:eastAsia="宋体" w:cs="Times New Roman"/>
          <w:sz w:val="24"/>
          <w:szCs w:val="24"/>
          <w:lang w:val="en-US" w:eastAsia="zh-CN"/>
        </w:rPr>
        <w:t>9</w:t>
      </w:r>
      <w:r>
        <w:rPr>
          <w:rFonts w:hAnsi="宋体" w:eastAsia="宋体" w:cs="Times New Roman"/>
          <w:sz w:val="24"/>
          <w:szCs w:val="24"/>
        </w:rPr>
        <w:t>。</w:t>
      </w:r>
    </w:p>
    <w:p>
      <w:pPr>
        <w:pStyle w:val="6"/>
        <w:adjustRightInd w:val="0"/>
        <w:snapToGrid w:val="0"/>
        <w:spacing w:after="0" w:line="500" w:lineRule="exact"/>
        <w:ind w:left="0" w:leftChars="0"/>
        <w:jc w:val="center"/>
        <w:rPr>
          <w:rFonts w:hint="eastAsia"/>
          <w:b/>
          <w:bCs/>
          <w:sz w:val="21"/>
          <w:szCs w:val="21"/>
          <w:highlight w:val="none"/>
          <w:lang w:eastAsia="zh-CN"/>
        </w:rPr>
      </w:pPr>
      <w:r>
        <w:rPr>
          <w:rFonts w:hAnsi="宋体"/>
          <w:b/>
          <w:bCs/>
          <w:sz w:val="21"/>
          <w:szCs w:val="21"/>
          <w:highlight w:val="none"/>
        </w:rPr>
        <w:t>表</w:t>
      </w:r>
      <w:r>
        <w:rPr>
          <w:rFonts w:hint="eastAsia" w:hAnsi="宋体"/>
          <w:b/>
          <w:bCs/>
          <w:sz w:val="21"/>
          <w:szCs w:val="21"/>
          <w:highlight w:val="none"/>
          <w:lang w:val="en-US" w:eastAsia="zh-CN"/>
        </w:rPr>
        <w:t>9</w:t>
      </w:r>
      <w:r>
        <w:rPr>
          <w:rFonts w:hAnsi="宋体"/>
          <w:b/>
          <w:bCs/>
          <w:sz w:val="21"/>
          <w:szCs w:val="21"/>
          <w:highlight w:val="none"/>
        </w:rPr>
        <w:t xml:space="preserve">  8～12周岁儿童氟斑牙</w:t>
      </w:r>
      <w:r>
        <w:rPr>
          <w:rFonts w:hint="eastAsia" w:hAnsi="宋体"/>
          <w:b/>
          <w:bCs/>
          <w:sz w:val="21"/>
          <w:szCs w:val="21"/>
          <w:highlight w:val="none"/>
          <w:lang w:eastAsia="zh-CN"/>
        </w:rPr>
        <w:t>患病情况</w:t>
      </w:r>
    </w:p>
    <w:tbl>
      <w:tblPr>
        <w:tblW w:w="8426" w:type="dxa"/>
        <w:jc w:val="center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4"/>
        <w:gridCol w:w="956"/>
        <w:gridCol w:w="957"/>
        <w:gridCol w:w="720"/>
        <w:gridCol w:w="843"/>
        <w:gridCol w:w="720"/>
        <w:gridCol w:w="602"/>
        <w:gridCol w:w="612"/>
        <w:gridCol w:w="720"/>
        <w:gridCol w:w="843"/>
        <w:gridCol w:w="849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省份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检查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44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氟斑牙诊断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患者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检出率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Ansi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氟斑牙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指数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正常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可疑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极轻度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轻度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中度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重度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广西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9510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0.03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贵州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954338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909245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25551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17548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21695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45093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4.73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0.10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河南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4405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5.38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0.10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湖北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34612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1589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0.05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湖南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95989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3076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3.26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0.06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江西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57763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54398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1240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3.68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0.06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辽宁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0.00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山西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61901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58395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0.05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陕西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96053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0.02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四川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126620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115632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4973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4.75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0.09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云南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220261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189934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16462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13865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6.29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0.13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重庆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62298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58164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6.15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0.08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1723760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1614958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56935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39194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30770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6546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77418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4.49 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0.09 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病区达标情况</w:t>
      </w:r>
    </w:p>
    <w:p>
      <w:pPr>
        <w:pStyle w:val="12"/>
        <w:spacing w:line="360" w:lineRule="auto"/>
        <w:ind w:firstLine="480"/>
        <w:rPr>
          <w:rFonts w:hint="eastAsia" w:hAnsi="宋体" w:eastAsia="宋体" w:cs="Times New Roman"/>
          <w:sz w:val="24"/>
          <w:szCs w:val="24"/>
          <w:lang w:val="en-US" w:eastAsia="zh-CN"/>
        </w:rPr>
      </w:pPr>
      <w:r>
        <w:rPr>
          <w:rFonts w:hint="eastAsia" w:hAnsi="宋体" w:eastAsia="宋体" w:cs="Times New Roman"/>
          <w:sz w:val="24"/>
          <w:szCs w:val="24"/>
        </w:rPr>
        <w:t>全国171个病区县中，有153个县达到了消除标准，16个县达到了控制标准，总的控制消除率为98.83%（169/171）。</w:t>
      </w:r>
      <w:r>
        <w:rPr>
          <w:rFonts w:hAnsi="宋体" w:eastAsia="宋体" w:cs="Times New Roman"/>
          <w:sz w:val="24"/>
          <w:szCs w:val="24"/>
        </w:rPr>
        <w:t>结果见表</w:t>
      </w:r>
      <w:r>
        <w:rPr>
          <w:rFonts w:hint="eastAsia" w:eastAsia="宋体" w:cs="Times New Roman"/>
          <w:sz w:val="24"/>
          <w:szCs w:val="24"/>
        </w:rPr>
        <w:t>5</w:t>
      </w:r>
      <w:r>
        <w:rPr>
          <w:rFonts w:hAnsi="宋体" w:eastAsia="宋体" w:cs="Times New Roman"/>
          <w:sz w:val="24"/>
          <w:szCs w:val="24"/>
        </w:rPr>
        <w:t>。</w:t>
      </w:r>
      <w:r>
        <w:rPr>
          <w:rFonts w:hint="eastAsia" w:hAnsi="宋体" w:eastAsia="宋体" w:cs="Times New Roman"/>
          <w:sz w:val="24"/>
          <w:szCs w:val="24"/>
        </w:rPr>
        <w:t>全部病区县均达到消除标准的省</w:t>
      </w:r>
      <w:r>
        <w:rPr>
          <w:rFonts w:hint="eastAsia" w:hAnsi="宋体" w:eastAsia="宋体" w:cs="Times New Roman"/>
          <w:sz w:val="24"/>
          <w:szCs w:val="24"/>
          <w:lang w:eastAsia="zh-CN"/>
        </w:rPr>
        <w:t>份</w:t>
      </w:r>
      <w:r>
        <w:rPr>
          <w:rFonts w:hint="eastAsia" w:hAnsi="宋体" w:eastAsia="宋体" w:cs="Times New Roman"/>
          <w:sz w:val="24"/>
          <w:szCs w:val="24"/>
        </w:rPr>
        <w:t>有广西、河南、湖北、江西、辽宁、山西和陕西等7个省份。</w:t>
      </w:r>
      <w:r>
        <w:rPr>
          <w:rFonts w:hint="eastAsia" w:hAnsi="宋体" w:eastAsia="宋体" w:cs="Times New Roman"/>
          <w:sz w:val="24"/>
          <w:szCs w:val="24"/>
          <w:lang w:eastAsia="zh-CN"/>
        </w:rPr>
        <w:t>达到控制标准但</w:t>
      </w:r>
      <w:r>
        <w:rPr>
          <w:rFonts w:hint="eastAsia" w:hAnsi="宋体" w:eastAsia="宋体" w:cs="Times New Roman"/>
          <w:sz w:val="24"/>
          <w:szCs w:val="24"/>
        </w:rPr>
        <w:t>未达到消除</w:t>
      </w:r>
      <w:r>
        <w:rPr>
          <w:rFonts w:hint="eastAsia" w:hAnsi="宋体" w:eastAsia="宋体" w:cs="Times New Roman"/>
          <w:sz w:val="24"/>
          <w:szCs w:val="24"/>
          <w:lang w:eastAsia="zh-CN"/>
        </w:rPr>
        <w:t>标准</w:t>
      </w:r>
      <w:r>
        <w:rPr>
          <w:rFonts w:hint="eastAsia" w:hAnsi="宋体" w:eastAsia="宋体" w:cs="Times New Roman"/>
          <w:sz w:val="24"/>
          <w:szCs w:val="24"/>
        </w:rPr>
        <w:t>的县有贵州的</w:t>
      </w:r>
      <w:r>
        <w:rPr>
          <w:rFonts w:hint="eastAsia" w:hAnsi="宋体" w:eastAsia="宋体" w:cs="Times New Roman"/>
          <w:bCs/>
          <w:sz w:val="24"/>
          <w:szCs w:val="24"/>
        </w:rPr>
        <w:t>8个县</w:t>
      </w:r>
      <w:r>
        <w:rPr>
          <w:rFonts w:hint="eastAsia" w:hAnsi="宋体" w:eastAsia="宋体" w:cs="Times New Roman"/>
          <w:sz w:val="24"/>
          <w:szCs w:val="24"/>
        </w:rPr>
        <w:t>、四川的</w:t>
      </w:r>
      <w:r>
        <w:rPr>
          <w:rFonts w:hint="eastAsia" w:hAnsi="宋体" w:eastAsia="宋体" w:cs="Times New Roman"/>
          <w:bCs/>
          <w:sz w:val="24"/>
          <w:szCs w:val="24"/>
        </w:rPr>
        <w:t>4个县</w:t>
      </w:r>
      <w:r>
        <w:rPr>
          <w:rFonts w:hint="eastAsia" w:hAnsi="宋体" w:eastAsia="宋体" w:cs="Times New Roman"/>
          <w:sz w:val="24"/>
          <w:szCs w:val="24"/>
          <w:lang w:eastAsia="zh-CN"/>
        </w:rPr>
        <w:t>、重庆市的</w:t>
      </w:r>
      <w:r>
        <w:rPr>
          <w:rFonts w:hint="eastAsia" w:hAnsi="宋体" w:eastAsia="宋体" w:cs="Times New Roman"/>
          <w:sz w:val="24"/>
          <w:szCs w:val="24"/>
          <w:lang w:val="en-US" w:eastAsia="zh-CN"/>
        </w:rPr>
        <w:t>2个县及湖南和</w:t>
      </w:r>
      <w:r>
        <w:rPr>
          <w:rFonts w:hint="eastAsia" w:hAnsi="宋体" w:eastAsia="宋体" w:cs="Times New Roman"/>
          <w:sz w:val="24"/>
          <w:szCs w:val="24"/>
        </w:rPr>
        <w:t>云南</w:t>
      </w:r>
      <w:r>
        <w:rPr>
          <w:rFonts w:hint="eastAsia" w:hAnsi="宋体" w:eastAsia="宋体" w:cs="Times New Roman"/>
          <w:sz w:val="24"/>
          <w:szCs w:val="24"/>
          <w:lang w:val="en-US" w:eastAsia="zh-CN"/>
        </w:rPr>
        <w:t>的各1个县</w:t>
      </w:r>
      <w:r>
        <w:rPr>
          <w:rFonts w:hint="eastAsia" w:hAnsi="宋体" w:eastAsia="宋体" w:cs="Times New Roman"/>
          <w:sz w:val="24"/>
          <w:szCs w:val="24"/>
        </w:rPr>
        <w:t>。未达到控制标准的县为云南省的镇雄县和富源县。</w:t>
      </w:r>
      <w:r>
        <w:rPr>
          <w:rFonts w:hint="eastAsia" w:hAnsi="宋体" w:eastAsia="宋体" w:cs="Times New Roman"/>
          <w:sz w:val="24"/>
          <w:szCs w:val="24"/>
          <w:lang w:val="en-US" w:eastAsia="zh-CN"/>
        </w:rPr>
        <w:t>见表10。</w:t>
      </w:r>
    </w:p>
    <w:p>
      <w:pPr>
        <w:pStyle w:val="6"/>
        <w:widowControl w:val="0"/>
        <w:adjustRightInd w:val="0"/>
        <w:snapToGrid w:val="0"/>
        <w:spacing w:after="0" w:line="500" w:lineRule="exact"/>
        <w:ind w:left="0" w:leftChars="0" w:firstLine="2741" w:firstLineChars="1300"/>
        <w:jc w:val="both"/>
        <w:rPr>
          <w:rFonts w:ascii="Times New Roman" w:hAnsi="宋体" w:cs="Times New Roman"/>
          <w:b/>
          <w:bCs/>
          <w:color w:val="000000"/>
          <w:kern w:val="0"/>
          <w:sz w:val="21"/>
          <w:szCs w:val="21"/>
          <w:highlight w:val="none"/>
        </w:rPr>
      </w:pPr>
      <w:r>
        <w:rPr>
          <w:rFonts w:hint="default" w:ascii="Times New Roman" w:hAnsi="宋体" w:cs="Times New Roman"/>
          <w:b/>
          <w:bCs/>
          <w:color w:val="000000"/>
          <w:kern w:val="0"/>
          <w:sz w:val="21"/>
          <w:szCs w:val="21"/>
          <w:highlight w:val="none"/>
        </w:rPr>
        <w:t>表</w:t>
      </w:r>
      <w:r>
        <w:rPr>
          <w:rFonts w:hint="default" w:ascii="Times New Roman" w:hAnsi="宋体" w:cs="Times New Roman"/>
          <w:b/>
          <w:bCs/>
          <w:color w:val="000000"/>
          <w:kern w:val="0"/>
          <w:sz w:val="21"/>
          <w:szCs w:val="21"/>
          <w:highlight w:val="none"/>
          <w:lang w:val="en-US" w:eastAsia="zh-CN"/>
        </w:rPr>
        <w:t xml:space="preserve">10  </w:t>
      </w:r>
      <w:r>
        <w:rPr>
          <w:rFonts w:hint="default" w:ascii="Times New Roman" w:hAnsi="宋体" w:cs="Times New Roman"/>
          <w:b/>
          <w:bCs/>
          <w:color w:val="000000"/>
          <w:kern w:val="0"/>
          <w:sz w:val="21"/>
          <w:szCs w:val="21"/>
          <w:highlight w:val="none"/>
        </w:rPr>
        <w:t>病区县控制消除情况</w:t>
      </w:r>
    </w:p>
    <w:tbl>
      <w:tblPr>
        <w:tblW w:w="7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965"/>
        <w:gridCol w:w="763"/>
        <w:gridCol w:w="1021"/>
        <w:gridCol w:w="1290"/>
        <w:gridCol w:w="106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/>
              </w:rPr>
              <w:t>省</w:t>
            </w:r>
            <w:r>
              <w:rPr>
                <w:rFonts w:hint="eastAsia"/>
                <w:kern w:val="0"/>
                <w:szCs w:val="21"/>
                <w:lang/>
              </w:rPr>
              <w:t>份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/>
              </w:rPr>
            </w:pPr>
            <w:r>
              <w:rPr>
                <w:kern w:val="0"/>
                <w:szCs w:val="21"/>
                <w:lang/>
              </w:rPr>
              <w:t>病区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/>
              </w:rPr>
              <w:t>县数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/>
              </w:rPr>
            </w:pPr>
            <w:r>
              <w:rPr>
                <w:kern w:val="0"/>
                <w:szCs w:val="21"/>
                <w:lang/>
              </w:rPr>
              <w:t>消除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/>
              </w:rPr>
              <w:t>县数</w:t>
            </w:r>
          </w:p>
        </w:tc>
        <w:tc>
          <w:tcPr>
            <w:tcW w:w="102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/>
              </w:rPr>
            </w:pPr>
            <w:r>
              <w:rPr>
                <w:kern w:val="0"/>
                <w:szCs w:val="21"/>
                <w:lang/>
              </w:rPr>
              <w:t>控制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/>
              </w:rPr>
              <w:t>县数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/>
              </w:rPr>
            </w:pPr>
            <w:r>
              <w:rPr>
                <w:kern w:val="0"/>
                <w:szCs w:val="21"/>
                <w:lang/>
              </w:rPr>
              <w:t>防治措施达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/>
              </w:rPr>
              <w:t>到控制县数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/>
              </w:rPr>
            </w:pPr>
            <w:r>
              <w:rPr>
                <w:kern w:val="0"/>
                <w:szCs w:val="21"/>
                <w:lang/>
              </w:rPr>
              <w:t>未控制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/>
              </w:rPr>
              <w:t>县数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/>
              </w:rPr>
            </w:pPr>
            <w:r>
              <w:rPr>
                <w:kern w:val="0"/>
                <w:szCs w:val="21"/>
                <w:lang/>
              </w:rPr>
              <w:t>控制</w:t>
            </w:r>
            <w:r>
              <w:rPr>
                <w:rFonts w:hint="eastAsia"/>
                <w:kern w:val="0"/>
                <w:szCs w:val="21"/>
                <w:lang w:eastAsia="zh-CN"/>
              </w:rPr>
              <w:t>和</w:t>
            </w:r>
            <w:r>
              <w:rPr>
                <w:kern w:val="0"/>
                <w:szCs w:val="21"/>
                <w:lang/>
              </w:rPr>
              <w:t>消除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/>
              </w:rPr>
              <w:t>总县数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广西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贵州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河南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湖北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江西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辽宁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山西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陕西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四川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云南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重庆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171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153</w:t>
            </w:r>
          </w:p>
        </w:tc>
        <w:tc>
          <w:tcPr>
            <w:tcW w:w="102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169</w:t>
            </w:r>
          </w:p>
        </w:tc>
      </w:tr>
    </w:tbl>
    <w:p>
      <w:pPr>
        <w:pStyle w:val="12"/>
        <w:spacing w:line="360" w:lineRule="auto"/>
        <w:ind w:firstLine="480"/>
        <w:rPr>
          <w:rFonts w:hint="default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3.</w:t>
      </w:r>
      <w:r>
        <w:rPr>
          <w:rFonts w:ascii="宋体" w:hAnsi="宋体" w:eastAsia="宋体"/>
          <w:sz w:val="24"/>
          <w:highlight w:val="none"/>
        </w:rPr>
        <w:t>主要结论</w:t>
      </w:r>
    </w:p>
    <w:p>
      <w:pPr>
        <w:pStyle w:val="12"/>
        <w:spacing w:line="360" w:lineRule="auto"/>
        <w:ind w:firstLine="480"/>
        <w:rPr>
          <w:rFonts w:hint="eastAsia" w:hAnsi="宋体" w:eastAsia="宋体" w:cs="Times New Roman"/>
          <w:b w:val="0"/>
          <w:sz w:val="24"/>
          <w:szCs w:val="24"/>
          <w:highlight w:val="none"/>
        </w:rPr>
      </w:pPr>
      <w:r>
        <w:rPr>
          <w:rFonts w:hAnsi="宋体" w:eastAsia="宋体" w:cs="Times New Roman"/>
          <w:b w:val="0"/>
          <w:sz w:val="24"/>
          <w:szCs w:val="24"/>
          <w:highlight w:val="none"/>
        </w:rPr>
        <w:t>（</w:t>
      </w:r>
      <w:r>
        <w:rPr>
          <w:rFonts w:hint="default" w:hAnsi="宋体" w:eastAsia="宋体" w:cs="Times New Roman"/>
          <w:b w:val="0"/>
          <w:sz w:val="24"/>
          <w:szCs w:val="24"/>
          <w:highlight w:val="none"/>
          <w:lang w:val="en-US" w:eastAsia="zh-CN"/>
        </w:rPr>
        <w:t>1</w:t>
      </w:r>
      <w:r>
        <w:rPr>
          <w:rFonts w:hAnsi="宋体" w:eastAsia="宋体" w:cs="Times New Roman"/>
          <w:b w:val="0"/>
          <w:sz w:val="24"/>
          <w:szCs w:val="24"/>
          <w:highlight w:val="none"/>
        </w:rPr>
        <w:t>）</w:t>
      </w:r>
      <w:r>
        <w:rPr>
          <w:rFonts w:hint="eastAsia" w:hAnsi="宋体" w:eastAsia="宋体" w:cs="Times New Roman"/>
          <w:b w:val="0"/>
          <w:sz w:val="24"/>
          <w:szCs w:val="24"/>
          <w:highlight w:val="none"/>
          <w:lang w:val="en-US" w:eastAsia="zh-CN"/>
        </w:rPr>
        <w:t>改炉改灶情况</w:t>
      </w:r>
    </w:p>
    <w:p>
      <w:pPr>
        <w:pStyle w:val="12"/>
        <w:spacing w:line="360" w:lineRule="auto"/>
        <w:ind w:firstLine="480"/>
        <w:rPr>
          <w:rFonts w:hint="eastAsia" w:hAnsi="宋体" w:eastAsia="宋体" w:cs="Times New Roman"/>
          <w:bCs/>
          <w:sz w:val="24"/>
          <w:szCs w:val="24"/>
        </w:rPr>
      </w:pPr>
      <w:r>
        <w:rPr>
          <w:rFonts w:hAnsi="宋体" w:eastAsia="宋体" w:cs="Times New Roman"/>
          <w:sz w:val="24"/>
          <w:szCs w:val="24"/>
        </w:rPr>
        <w:t>本年度</w:t>
      </w:r>
      <w:r>
        <w:rPr>
          <w:rFonts w:hint="eastAsia" w:hAnsi="宋体" w:eastAsia="宋体" w:cs="Times New Roman"/>
          <w:sz w:val="24"/>
          <w:szCs w:val="24"/>
        </w:rPr>
        <w:t>共入户调查999535户</w:t>
      </w:r>
      <w:r>
        <w:rPr>
          <w:rFonts w:hAnsi="宋体" w:eastAsia="宋体" w:cs="Times New Roman"/>
          <w:sz w:val="24"/>
          <w:szCs w:val="24"/>
        </w:rPr>
        <w:t>，</w:t>
      </w:r>
      <w:r>
        <w:rPr>
          <w:rFonts w:hint="eastAsia" w:hAnsi="宋体" w:eastAsia="宋体" w:cs="Times New Roman"/>
          <w:sz w:val="24"/>
          <w:szCs w:val="24"/>
        </w:rPr>
        <w:t>其中改良炉灶户为</w:t>
      </w:r>
      <w:r>
        <w:rPr>
          <w:rFonts w:hAnsi="宋体" w:eastAsia="宋体" w:cs="Times New Roman"/>
          <w:sz w:val="24"/>
          <w:szCs w:val="24"/>
        </w:rPr>
        <w:t>996400</w:t>
      </w:r>
      <w:r>
        <w:rPr>
          <w:rFonts w:hint="eastAsia" w:hAnsi="宋体" w:eastAsia="宋体" w:cs="Times New Roman"/>
          <w:sz w:val="24"/>
          <w:szCs w:val="24"/>
        </w:rPr>
        <w:t>户，改良炉灶率为</w:t>
      </w:r>
      <w:r>
        <w:rPr>
          <w:rFonts w:hAnsi="宋体" w:eastAsia="宋体" w:cs="Times New Roman"/>
          <w:sz w:val="24"/>
          <w:szCs w:val="24"/>
        </w:rPr>
        <w:t>99.69%；</w:t>
      </w:r>
      <w:r>
        <w:rPr>
          <w:rFonts w:hint="eastAsia" w:hAnsi="宋体" w:eastAsia="宋体" w:cs="Times New Roman"/>
          <w:sz w:val="24"/>
          <w:szCs w:val="24"/>
        </w:rPr>
        <w:t>合格改良炉灶户为</w:t>
      </w:r>
      <w:r>
        <w:rPr>
          <w:rFonts w:hAnsi="宋体" w:eastAsia="宋体" w:cs="Times New Roman"/>
          <w:sz w:val="24"/>
          <w:szCs w:val="24"/>
        </w:rPr>
        <w:t>969433，</w:t>
      </w:r>
      <w:r>
        <w:rPr>
          <w:rFonts w:hint="eastAsia" w:hAnsi="宋体" w:eastAsia="宋体" w:cs="Times New Roman"/>
          <w:sz w:val="24"/>
          <w:szCs w:val="24"/>
        </w:rPr>
        <w:t>合格改良炉灶率</w:t>
      </w:r>
      <w:r>
        <w:rPr>
          <w:rFonts w:hAnsi="宋体" w:eastAsia="宋体" w:cs="Times New Roman"/>
          <w:sz w:val="24"/>
          <w:szCs w:val="24"/>
        </w:rPr>
        <w:t>96.99%；</w:t>
      </w:r>
      <w:r>
        <w:rPr>
          <w:rFonts w:hint="eastAsia" w:hAnsi="宋体" w:eastAsia="宋体" w:cs="Times New Roman"/>
          <w:bCs/>
          <w:sz w:val="24"/>
          <w:szCs w:val="24"/>
        </w:rPr>
        <w:t>合格改良炉灶正确使用户数</w:t>
      </w:r>
      <w:r>
        <w:rPr>
          <w:rFonts w:hAnsi="宋体" w:eastAsia="宋体" w:cs="Times New Roman"/>
          <w:bCs/>
          <w:sz w:val="24"/>
          <w:szCs w:val="24"/>
        </w:rPr>
        <w:t>965740</w:t>
      </w:r>
      <w:r>
        <w:rPr>
          <w:rFonts w:hint="eastAsia" w:hAnsi="宋体" w:eastAsia="宋体" w:cs="Times New Roman"/>
          <w:bCs/>
          <w:sz w:val="24"/>
          <w:szCs w:val="24"/>
        </w:rPr>
        <w:t>户，合格改良炉灶正确使用率为</w:t>
      </w:r>
      <w:r>
        <w:rPr>
          <w:rFonts w:hAnsi="宋体" w:eastAsia="宋体" w:cs="Times New Roman"/>
          <w:bCs/>
          <w:sz w:val="24"/>
          <w:szCs w:val="24"/>
        </w:rPr>
        <w:t>99.62</w:t>
      </w:r>
      <w:r>
        <w:rPr>
          <w:rFonts w:hint="eastAsia" w:hAnsi="宋体" w:eastAsia="宋体" w:cs="Times New Roman"/>
          <w:bCs/>
          <w:sz w:val="24"/>
          <w:szCs w:val="24"/>
        </w:rPr>
        <w:t>%。</w:t>
      </w:r>
    </w:p>
    <w:p>
      <w:pPr>
        <w:pStyle w:val="12"/>
        <w:spacing w:line="360" w:lineRule="auto"/>
        <w:ind w:firstLine="480"/>
        <w:rPr>
          <w:rFonts w:hAnsi="宋体" w:eastAsia="宋体" w:cs="Times New Roman"/>
          <w:b w:val="0"/>
          <w:sz w:val="24"/>
          <w:szCs w:val="24"/>
          <w:highlight w:val="none"/>
        </w:rPr>
      </w:pPr>
      <w:r>
        <w:rPr>
          <w:rFonts w:hAnsi="宋体" w:eastAsia="宋体" w:cs="Times New Roman"/>
          <w:b w:val="0"/>
          <w:sz w:val="24"/>
          <w:szCs w:val="24"/>
          <w:highlight w:val="none"/>
        </w:rPr>
        <w:t>（</w:t>
      </w:r>
      <w:r>
        <w:rPr>
          <w:rFonts w:hint="default" w:hAnsi="宋体" w:eastAsia="宋体" w:cs="Times New Roman"/>
          <w:b w:val="0"/>
          <w:sz w:val="24"/>
          <w:szCs w:val="24"/>
          <w:highlight w:val="none"/>
          <w:lang w:eastAsia="zh-CN"/>
        </w:rPr>
        <w:t>2</w:t>
      </w:r>
      <w:r>
        <w:rPr>
          <w:rFonts w:hAnsi="宋体" w:eastAsia="宋体" w:cs="Times New Roman"/>
          <w:b w:val="0"/>
          <w:sz w:val="24"/>
          <w:szCs w:val="24"/>
          <w:highlight w:val="none"/>
        </w:rPr>
        <w:t>）相关</w:t>
      </w:r>
      <w:r>
        <w:rPr>
          <w:rFonts w:hint="eastAsia" w:hAnsi="宋体" w:eastAsia="宋体" w:cs="Times New Roman"/>
          <w:b w:val="0"/>
          <w:sz w:val="24"/>
          <w:szCs w:val="24"/>
          <w:highlight w:val="none"/>
          <w:lang w:val="en-US" w:eastAsia="zh-CN"/>
        </w:rPr>
        <w:t>健康生活</w:t>
      </w:r>
      <w:r>
        <w:rPr>
          <w:rFonts w:hAnsi="宋体" w:eastAsia="宋体" w:cs="Times New Roman"/>
          <w:b w:val="0"/>
          <w:sz w:val="24"/>
          <w:szCs w:val="24"/>
          <w:highlight w:val="none"/>
        </w:rPr>
        <w:t>行为形成情况</w:t>
      </w:r>
    </w:p>
    <w:p>
      <w:pPr>
        <w:pStyle w:val="12"/>
        <w:spacing w:line="360" w:lineRule="auto"/>
        <w:ind w:firstLine="480"/>
        <w:rPr>
          <w:rFonts w:hAnsi="宋体" w:eastAsia="宋体" w:cs="Times New Roman"/>
          <w:bCs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  <w:lang w:val="en-US" w:eastAsia="zh-CN"/>
        </w:rPr>
        <w:t>玉米的</w:t>
      </w:r>
      <w:r>
        <w:rPr>
          <w:rFonts w:hint="eastAsia" w:hAnsi="宋体" w:eastAsia="宋体" w:cs="Times New Roman"/>
          <w:sz w:val="24"/>
          <w:szCs w:val="24"/>
        </w:rPr>
        <w:t>正确干</w:t>
      </w:r>
      <w:r>
        <w:rPr>
          <w:rFonts w:hAnsi="宋体" w:eastAsia="宋体" w:cs="Times New Roman"/>
          <w:bCs/>
          <w:sz w:val="24"/>
          <w:szCs w:val="24"/>
        </w:rPr>
        <w:t>燥率为98.87%，正确保管率为96.19%，</w:t>
      </w:r>
      <w:r>
        <w:rPr>
          <w:rFonts w:hAnsi="宋体" w:eastAsia="宋体" w:cs="Times New Roman"/>
          <w:sz w:val="24"/>
          <w:szCs w:val="24"/>
        </w:rPr>
        <w:t>加工前淘洗率为</w:t>
      </w:r>
      <w:r>
        <w:rPr>
          <w:rFonts w:hAnsi="宋体" w:eastAsia="宋体" w:cs="Times New Roman"/>
          <w:bCs/>
          <w:sz w:val="24"/>
          <w:szCs w:val="24"/>
        </w:rPr>
        <w:t>98.09%。辣椒的正确干燥率为99.00%，正确保管率为93.13%，</w:t>
      </w:r>
      <w:r>
        <w:rPr>
          <w:rFonts w:hAnsi="宋体" w:eastAsia="宋体" w:cs="Times New Roman"/>
          <w:sz w:val="24"/>
          <w:szCs w:val="24"/>
        </w:rPr>
        <w:t>加工前淘洗率为</w:t>
      </w:r>
      <w:r>
        <w:rPr>
          <w:rFonts w:hAnsi="宋体" w:eastAsia="宋体" w:cs="Times New Roman"/>
          <w:bCs/>
          <w:sz w:val="24"/>
          <w:szCs w:val="24"/>
        </w:rPr>
        <w:t>92.31%。</w:t>
      </w:r>
    </w:p>
    <w:p>
      <w:pPr>
        <w:pStyle w:val="12"/>
        <w:spacing w:line="360" w:lineRule="auto"/>
        <w:ind w:firstLine="480" w:firstLineChars="200"/>
        <w:rPr>
          <w:rFonts w:hAnsi="宋体" w:eastAsia="宋体" w:cs="Times New Roman"/>
          <w:sz w:val="24"/>
          <w:szCs w:val="24"/>
          <w:highlight w:val="none"/>
        </w:rPr>
      </w:pPr>
      <w:r>
        <w:rPr>
          <w:rFonts w:hAnsi="宋体" w:eastAsia="宋体" w:cs="Times New Roman"/>
          <w:b w:val="0"/>
          <w:sz w:val="24"/>
          <w:szCs w:val="24"/>
          <w:highlight w:val="none"/>
        </w:rPr>
        <w:t>（</w:t>
      </w:r>
      <w:r>
        <w:rPr>
          <w:rFonts w:hint="default" w:hAnsi="宋体" w:eastAsia="宋体" w:cs="Times New Roman"/>
          <w:b w:val="0"/>
          <w:sz w:val="24"/>
          <w:szCs w:val="24"/>
          <w:highlight w:val="none"/>
          <w:lang w:eastAsia="zh-CN"/>
        </w:rPr>
        <w:t>3</w:t>
      </w:r>
      <w:r>
        <w:rPr>
          <w:rFonts w:hAnsi="宋体" w:eastAsia="宋体" w:cs="Times New Roman"/>
          <w:b w:val="0"/>
          <w:sz w:val="24"/>
          <w:szCs w:val="24"/>
          <w:highlight w:val="none"/>
        </w:rPr>
        <w:t>）儿童氟斑牙病情</w:t>
      </w:r>
    </w:p>
    <w:p>
      <w:pPr>
        <w:pStyle w:val="12"/>
        <w:spacing w:line="360" w:lineRule="auto"/>
        <w:ind w:firstLine="480" w:firstLineChars="200"/>
        <w:rPr>
          <w:rFonts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本年度共</w:t>
      </w:r>
      <w:r>
        <w:rPr>
          <w:rFonts w:hAnsi="宋体" w:eastAsia="宋体" w:cs="Times New Roman"/>
          <w:sz w:val="24"/>
          <w:szCs w:val="24"/>
        </w:rPr>
        <w:t>检查</w:t>
      </w:r>
      <w:r>
        <w:rPr>
          <w:rFonts w:eastAsia="宋体" w:cs="Times New Roman"/>
          <w:sz w:val="24"/>
          <w:szCs w:val="24"/>
        </w:rPr>
        <w:t>8</w:t>
      </w:r>
      <w:r>
        <w:rPr>
          <w:rFonts w:hAnsi="宋体" w:eastAsia="宋体" w:cs="Times New Roman"/>
          <w:sz w:val="24"/>
          <w:szCs w:val="24"/>
        </w:rPr>
        <w:t>～</w:t>
      </w:r>
      <w:r>
        <w:rPr>
          <w:rFonts w:eastAsia="宋体" w:cs="Times New Roman"/>
          <w:sz w:val="24"/>
          <w:szCs w:val="24"/>
        </w:rPr>
        <w:t>12</w:t>
      </w:r>
      <w:r>
        <w:rPr>
          <w:rFonts w:hAnsi="宋体" w:eastAsia="宋体" w:cs="Times New Roman"/>
          <w:sz w:val="24"/>
          <w:szCs w:val="24"/>
        </w:rPr>
        <w:t>周岁儿童172</w:t>
      </w:r>
      <w:r>
        <w:rPr>
          <w:rFonts w:hint="eastAsia" w:hAnsi="宋体" w:eastAsia="宋体" w:cs="Times New Roman"/>
          <w:sz w:val="24"/>
          <w:szCs w:val="24"/>
        </w:rPr>
        <w:t>.</w:t>
      </w:r>
      <w:r>
        <w:rPr>
          <w:rFonts w:hAnsi="宋体" w:eastAsia="宋体" w:cs="Times New Roman"/>
          <w:sz w:val="24"/>
          <w:szCs w:val="24"/>
        </w:rPr>
        <w:t>3</w:t>
      </w:r>
      <w:r>
        <w:rPr>
          <w:rFonts w:hint="eastAsia" w:hAnsi="宋体" w:eastAsia="宋体" w:cs="Times New Roman"/>
          <w:sz w:val="24"/>
          <w:szCs w:val="24"/>
        </w:rPr>
        <w:t>8万</w:t>
      </w:r>
      <w:r>
        <w:rPr>
          <w:rFonts w:hAnsi="宋体" w:eastAsia="宋体" w:cs="Times New Roman"/>
          <w:sz w:val="24"/>
          <w:szCs w:val="24"/>
        </w:rPr>
        <w:t>人，检出氟斑牙患者</w:t>
      </w:r>
      <w:r>
        <w:rPr>
          <w:rFonts w:eastAsia="宋体" w:cs="Times New Roman"/>
          <w:sz w:val="24"/>
          <w:szCs w:val="24"/>
        </w:rPr>
        <w:t>77418</w:t>
      </w:r>
      <w:r>
        <w:rPr>
          <w:rFonts w:hAnsi="宋体" w:eastAsia="宋体" w:cs="Times New Roman"/>
          <w:sz w:val="24"/>
          <w:szCs w:val="24"/>
        </w:rPr>
        <w:t>例</w:t>
      </w:r>
      <w:r>
        <w:rPr>
          <w:rFonts w:hint="eastAsia" w:hAnsi="宋体" w:eastAsia="宋体" w:cs="Times New Roman"/>
          <w:sz w:val="24"/>
          <w:szCs w:val="24"/>
        </w:rPr>
        <w:t>，</w:t>
      </w:r>
      <w:r>
        <w:rPr>
          <w:rFonts w:hAnsi="宋体" w:eastAsia="宋体" w:cs="Times New Roman"/>
          <w:sz w:val="24"/>
          <w:szCs w:val="24"/>
        </w:rPr>
        <w:t>氟斑牙检出</w:t>
      </w:r>
      <w:r>
        <w:rPr>
          <w:rFonts w:hint="eastAsia" w:hAnsi="宋体" w:eastAsia="宋体" w:cs="Times New Roman"/>
          <w:sz w:val="24"/>
          <w:szCs w:val="24"/>
        </w:rPr>
        <w:t>率</w:t>
      </w:r>
      <w:r>
        <w:rPr>
          <w:rFonts w:hAnsi="宋体" w:eastAsia="宋体" w:cs="Times New Roman"/>
          <w:sz w:val="24"/>
          <w:szCs w:val="24"/>
        </w:rPr>
        <w:t>为</w:t>
      </w:r>
      <w:r>
        <w:rPr>
          <w:rFonts w:eastAsia="宋体" w:cs="Times New Roman"/>
          <w:sz w:val="24"/>
          <w:szCs w:val="24"/>
        </w:rPr>
        <w:t>4.49%</w:t>
      </w:r>
      <w:r>
        <w:rPr>
          <w:rFonts w:hAnsi="宋体" w:eastAsia="宋体" w:cs="Times New Roman"/>
          <w:sz w:val="24"/>
          <w:szCs w:val="24"/>
        </w:rPr>
        <w:t>，</w:t>
      </w:r>
      <w:r>
        <w:rPr>
          <w:rFonts w:hint="eastAsia" w:eastAsia="宋体" w:cs="Times New Roman"/>
          <w:sz w:val="24"/>
          <w:szCs w:val="24"/>
        </w:rPr>
        <w:t>氟斑牙流行程度已经呈无流行状态</w:t>
      </w:r>
      <w:r>
        <w:rPr>
          <w:rFonts w:hAnsi="宋体" w:eastAsia="宋体" w:cs="Times New Roman"/>
          <w:sz w:val="24"/>
          <w:szCs w:val="24"/>
        </w:rPr>
        <w:t>。</w:t>
      </w:r>
    </w:p>
    <w:p>
      <w:pPr>
        <w:pStyle w:val="12"/>
        <w:spacing w:line="360" w:lineRule="auto"/>
        <w:ind w:firstLine="480" w:firstLineChars="200"/>
        <w:rPr>
          <w:rFonts w:ascii="Times New Roman" w:hAnsi="宋体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宋体" w:eastAsia="宋体" w:cs="Times New Roman"/>
          <w:b/>
          <w:bCs/>
          <w:sz w:val="24"/>
          <w:szCs w:val="24"/>
          <w:highlight w:val="none"/>
        </w:rPr>
        <w:t>（</w:t>
      </w:r>
      <w:r>
        <w:rPr>
          <w:rFonts w:hint="default" w:ascii="Times New Roman" w:hAnsi="宋体" w:eastAsia="宋体" w:cs="Times New Roman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default" w:ascii="Times New Roman" w:hAnsi="宋体" w:eastAsia="宋体" w:cs="Times New Roman"/>
          <w:b/>
          <w:bCs/>
          <w:sz w:val="24"/>
          <w:szCs w:val="24"/>
          <w:highlight w:val="none"/>
        </w:rPr>
        <w:t>）饮茶型地方性氟中毒监测</w:t>
      </w:r>
    </w:p>
    <w:p>
      <w:pPr>
        <w:pStyle w:val="12"/>
        <w:spacing w:line="360" w:lineRule="auto"/>
        <w:ind w:firstLine="480"/>
        <w:jc w:val="both"/>
        <w:rPr>
          <w:rFonts w:ascii="Times New Roman" w:hAnsi="宋体" w:eastAsia="宋体" w:cs="Times New Roman"/>
          <w:sz w:val="24"/>
          <w:szCs w:val="24"/>
          <w:highlight w:val="none"/>
        </w:rPr>
      </w:pPr>
      <w:r>
        <w:rPr>
          <w:rFonts w:hint="default" w:ascii="Times New Roman" w:hAnsi="宋体" w:eastAsia="宋体" w:cs="Times New Roman"/>
          <w:sz w:val="24"/>
          <w:szCs w:val="24"/>
          <w:highlight w:val="none"/>
        </w:rPr>
        <w:t>1.项目完成情况</w:t>
      </w:r>
    </w:p>
    <w:p>
      <w:pPr>
        <w:pStyle w:val="12"/>
        <w:adjustRightInd w:val="0"/>
        <w:snapToGrid w:val="0"/>
        <w:spacing w:line="360" w:lineRule="auto"/>
        <w:ind w:firstLine="480" w:firstLineChars="200"/>
        <w:jc w:val="both"/>
        <w:rPr>
          <w:rFonts w:ascii="Times New Roman" w:hAnsi="宋体" w:eastAsia="宋体" w:cs="Times New Roman"/>
          <w:bCs w:val="0"/>
          <w:sz w:val="24"/>
          <w:szCs w:val="24"/>
          <w:highlight w:val="none"/>
        </w:rPr>
      </w:pPr>
      <w:r>
        <w:rPr>
          <w:rFonts w:ascii="Times New Roman" w:hAnsi="宋体" w:eastAsia="宋体" w:cs="Times New Roman"/>
          <w:bCs w:val="0"/>
          <w:sz w:val="24"/>
          <w:szCs w:val="24"/>
          <w:highlight w:val="none"/>
        </w:rPr>
        <w:t>本年度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  <w:lang w:eastAsia="zh-CN"/>
        </w:rPr>
        <w:t>7</w:t>
      </w:r>
      <w:r>
        <w:rPr>
          <w:rFonts w:ascii="Times New Roman" w:hAnsi="宋体" w:eastAsia="宋体" w:cs="Times New Roman"/>
          <w:bCs w:val="0"/>
          <w:sz w:val="24"/>
          <w:szCs w:val="24"/>
          <w:highlight w:val="none"/>
        </w:rPr>
        <w:t>个省区共在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  <w:lang w:eastAsia="zh-CN"/>
        </w:rPr>
        <w:t>2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  <w:lang w:val="en-US" w:eastAsia="zh-CN"/>
        </w:rPr>
        <w:t>46</w:t>
      </w:r>
      <w:r>
        <w:rPr>
          <w:rFonts w:ascii="Times New Roman" w:hAnsi="宋体" w:eastAsia="宋体" w:cs="Times New Roman"/>
          <w:bCs w:val="0"/>
          <w:sz w:val="24"/>
          <w:szCs w:val="24"/>
          <w:highlight w:val="none"/>
        </w:rPr>
        <w:t>个县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  <w:lang w:val="en-US" w:eastAsia="zh-CN"/>
        </w:rPr>
        <w:t>开展了</w:t>
      </w:r>
      <w:r>
        <w:rPr>
          <w:rFonts w:hint="default" w:ascii="Times New Roman" w:hAnsi="宋体" w:eastAsia="宋体" w:cs="Times New Roman"/>
          <w:sz w:val="24"/>
          <w:szCs w:val="24"/>
          <w:highlight w:val="none"/>
          <w:lang w:val="en-US" w:eastAsia="zh-CN"/>
        </w:rPr>
        <w:t>以行政村为单位的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  <w:lang w:val="en-US" w:eastAsia="zh-CN"/>
        </w:rPr>
        <w:t>饮茶型氟中毒</w:t>
      </w:r>
      <w:r>
        <w:rPr>
          <w:rFonts w:hint="eastAsia" w:hAnsi="宋体" w:eastAsia="宋体" w:cs="Times New Roman"/>
          <w:bCs w:val="0"/>
          <w:sz w:val="24"/>
          <w:szCs w:val="24"/>
          <w:highlight w:val="none"/>
          <w:lang w:val="en-US" w:eastAsia="zh-CN"/>
        </w:rPr>
        <w:t>流行病学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  <w:lang w:val="en-US" w:eastAsia="zh-CN"/>
        </w:rPr>
        <w:t>调查</w:t>
      </w:r>
      <w:r>
        <w:rPr>
          <w:rFonts w:ascii="Times New Roman" w:hAnsi="宋体" w:eastAsia="宋体" w:cs="Times New Roman"/>
          <w:bCs w:val="0"/>
          <w:sz w:val="24"/>
          <w:szCs w:val="24"/>
          <w:highlight w:val="none"/>
        </w:rPr>
        <w:t>工作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</w:rPr>
        <w:t>。</w:t>
      </w:r>
    </w:p>
    <w:p>
      <w:pPr>
        <w:pStyle w:val="12"/>
        <w:spacing w:line="360" w:lineRule="auto"/>
        <w:ind w:firstLine="480"/>
        <w:jc w:val="both"/>
        <w:rPr>
          <w:rFonts w:ascii="Times New Roman" w:hAnsi="宋体" w:eastAsia="宋体" w:cs="Times New Roman"/>
          <w:sz w:val="24"/>
          <w:szCs w:val="24"/>
          <w:highlight w:val="none"/>
        </w:rPr>
      </w:pPr>
      <w:r>
        <w:rPr>
          <w:rFonts w:hint="default" w:ascii="Times New Roman" w:hAnsi="宋体" w:eastAsia="宋体" w:cs="Times New Roman"/>
          <w:sz w:val="24"/>
          <w:szCs w:val="24"/>
          <w:highlight w:val="none"/>
        </w:rPr>
        <w:t>2.主要结果</w:t>
      </w:r>
    </w:p>
    <w:p>
      <w:pPr>
        <w:pStyle w:val="12"/>
        <w:spacing w:line="360" w:lineRule="auto"/>
        <w:ind w:firstLine="480" w:firstLineChars="200"/>
        <w:jc w:val="both"/>
        <w:rPr>
          <w:rFonts w:hint="default" w:ascii="Times New Roman" w:hAnsi="宋体" w:eastAsia="宋体" w:cs="Times New Roman"/>
          <w:bCs w:val="0"/>
          <w:sz w:val="24"/>
          <w:szCs w:val="24"/>
          <w:highlight w:val="none"/>
        </w:rPr>
      </w:pPr>
      <w:r>
        <w:rPr>
          <w:rFonts w:hint="default" w:ascii="Times New Roman" w:hAnsi="宋体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宋体" w:eastAsia="宋体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宋体" w:eastAsia="宋体" w:cs="Times New Roman"/>
          <w:sz w:val="24"/>
          <w:szCs w:val="24"/>
          <w:highlight w:val="none"/>
          <w:lang w:eastAsia="zh-CN"/>
        </w:rPr>
        <w:t>）砖茶含氟量与砖茶氟摄入量调查结果</w:t>
      </w:r>
    </w:p>
    <w:p>
      <w:pPr>
        <w:widowControl w:val="0"/>
        <w:numPr>
          <w:numId w:val="0"/>
        </w:numPr>
        <w:adjustRightInd/>
        <w:snapToGrid/>
        <w:spacing w:line="360" w:lineRule="auto"/>
        <w:ind w:firstLine="420" w:firstLineChars="175"/>
        <w:jc w:val="both"/>
        <w:rPr>
          <w:b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共检测了4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5523户（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份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砖茶样品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含氟量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，平均值为54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1.68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mg/kg，西藏平均值最高，为866.99mg/kg，其次为青海69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3.21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mg/kg，宁夏平均值最低，为322.45mg/kg。砖茶氟含量小于300mg/kg的合格率为2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1.91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%，其中宁夏合格率最高，为6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8.54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%，内蒙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古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和新疆分别为2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4.85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%和2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1.96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%，甘肃为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16.02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%，西藏、四川、青海合格率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均低于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10%。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内蒙古等6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区有饮砖茶习惯的人群中，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成人日均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茶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氟摄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呈偏态分布，中位数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2.04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mg，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新疆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最高为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2.73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宁夏最低为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1.16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mg。6省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饮用砖茶人群中，日均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茶氟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量超过3.5mg的比例为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31.08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%，其中新疆最高为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36.55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%，宁夏最低为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7.34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%。见表</w:t>
      </w:r>
      <w:r>
        <w:rPr>
          <w:rFonts w:hint="eastAsia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tbl>
      <w:tblPr>
        <w:tblW w:w="8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73"/>
        <w:gridCol w:w="1011"/>
        <w:gridCol w:w="1494"/>
        <w:gridCol w:w="671"/>
        <w:gridCol w:w="30"/>
        <w:gridCol w:w="668"/>
        <w:gridCol w:w="730"/>
        <w:gridCol w:w="1073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numId w:val="0"/>
              </w:numPr>
              <w:spacing w:line="360" w:lineRule="auto"/>
              <w:ind w:firstLine="369" w:firstLineChars="175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宋体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表</w:t>
            </w:r>
            <w:r>
              <w:rPr>
                <w:rFonts w:hint="default" w:hAnsi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</w:t>
            </w:r>
            <w:r>
              <w:rPr>
                <w:rFonts w:hint="default" w:ascii="Times New Roman" w:hAnsi="宋体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砖茶含氟量与摄氟量调查结果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省区</w:t>
            </w:r>
          </w:p>
        </w:tc>
        <w:tc>
          <w:tcPr>
            <w:tcW w:w="40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砖茶氟含量测定结果</w:t>
            </w:r>
          </w:p>
        </w:tc>
        <w:tc>
          <w:tcPr>
            <w:tcW w:w="30" w:type="dxa"/>
            <w:vMerge w:val="restart"/>
            <w:tcBorders>
              <w:top w:val="single" w:color="000000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成人日均砖茶氟摄入量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户数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平均值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（mg/kg）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（mg/kg）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（%）</w:t>
            </w:r>
          </w:p>
        </w:tc>
        <w:tc>
          <w:tcPr>
            <w:tcW w:w="30" w:type="dxa"/>
            <w:vMerge w:val="continue"/>
            <w:tcBorders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P50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（mg）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P25-P75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（mg）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大于3.5mg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比率（%）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内蒙古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24582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499.12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20.14-2062.88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24.85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55702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0.54-4.02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585.39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54.60-1799.90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6.05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2828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1.65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0.95-2.76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甘肃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508.12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31.80-1643.40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16.02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1.24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0.67-2.90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693.21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122.00-1844.00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5.85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5959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1.77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0.73-4.01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宁夏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322.45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57.40-1311.20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68.54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0.37-0.70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新疆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15280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574.23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19.73-2002.30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21.96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45643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2.73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1.36-4.64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西藏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1873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866.99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9.00-3030.53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6.35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45523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541.68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9.00-3030.53</w:t>
            </w:r>
          </w:p>
        </w:tc>
        <w:tc>
          <w:tcPr>
            <w:tcW w:w="6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21.91</w:t>
            </w:r>
          </w:p>
        </w:tc>
        <w:tc>
          <w:tcPr>
            <w:tcW w:w="30" w:type="dxa"/>
            <w:vMerge w:val="continue"/>
            <w:tcBorders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113691</w:t>
            </w: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2.04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0.79-4.28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31.08</w:t>
            </w:r>
          </w:p>
        </w:tc>
      </w:tr>
    </w:tbl>
    <w:p>
      <w:pPr>
        <w:widowControl/>
        <w:adjustRightInd w:val="0"/>
        <w:snapToGrid w:val="0"/>
        <w:spacing w:line="360" w:lineRule="auto"/>
        <w:ind w:firstLine="0" w:firstLineChars="0"/>
        <w:jc w:val="center"/>
        <w:rPr>
          <w:b/>
          <w:color w:val="auto"/>
          <w:sz w:val="21"/>
          <w:szCs w:val="21"/>
          <w:highlight w:val="yellow"/>
        </w:rPr>
      </w:pPr>
    </w:p>
    <w:p>
      <w:pPr>
        <w:widowControl/>
        <w:numPr>
          <w:numId w:val="0"/>
        </w:numPr>
        <w:wordWrap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）氟斑牙病情调查结果</w:t>
      </w:r>
    </w:p>
    <w:p>
      <w:pPr>
        <w:widowControl/>
        <w:wordWrap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省区在139个县检查了6563个有饮用砖茶习惯村的8-12周岁儿童氟斑牙患病情况，共检查217879名儿童，检出氟斑牙患者10823例，检出率为4.97%，氟斑牙严重程度以极轻度和轻度为主，中度和重度较少，中度有617例，重度为18例。从各省区检出率来看，青海检出率最高，为9.41%；新疆检出率最低，为0.96%。从各省区病人数量来看，内蒙古病人最多，为8023例，且有重度病例；宁夏病例最少，为33例，没有重度患者。见表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tbl>
      <w:tblPr>
        <w:tblW w:w="83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57"/>
        <w:gridCol w:w="757"/>
        <w:gridCol w:w="904"/>
        <w:gridCol w:w="763"/>
        <w:gridCol w:w="763"/>
        <w:gridCol w:w="763"/>
        <w:gridCol w:w="763"/>
        <w:gridCol w:w="763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3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表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儿童氟斑牙调查结果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省区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县数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村数</w:t>
            </w: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调查人数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可疑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极轻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轻度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中度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重度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检出率（%）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内蒙古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5408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138238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5321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5064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2493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678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25735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1559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965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476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甘肃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653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8057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598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475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宁夏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2286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新疆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42910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139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6563</w:t>
            </w: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217879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8580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6820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3368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617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4.97</w:t>
            </w:r>
          </w:p>
        </w:tc>
      </w:tr>
    </w:tbl>
    <w:p>
      <w:pPr>
        <w:widowControl/>
        <w:numPr>
          <w:numId w:val="0"/>
        </w:numPr>
        <w:wordWrap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）氟骨症病情调查结果</w:t>
      </w:r>
    </w:p>
    <w:p>
      <w:pPr>
        <w:widowControl/>
        <w:numPr>
          <w:numId w:val="0"/>
        </w:numPr>
        <w:wordWrap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宁夏、青海、甘肃、四川、内蒙</w:t>
      </w:r>
      <w:r>
        <w:rPr>
          <w:rFonts w:hint="eastAsia" w:ascii="宋体" w:hAnsi="宋体" w:eastAsia="宋体" w:cs="Times New Roman"/>
          <w:i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  <w:t>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、新疆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6省区在68个县通过临床体征检查和X线确定，在950个村检出29735例氟骨症病例，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西藏在境内的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地区（市）通过临床体征检查方法，检查了487965人，检出氟骨症病人33463例。7省区共检出氟骨症病人63198例，其中，轻度38329例、中度15094例、重度9773例。病人数最多的为西藏，四川次之为26896例；病人数较少的是甘肃9例、新疆33例、宁夏42例。6省区氟骨症患者是建档立卡贫困户的有1197人，占总氟骨症患者的4.03%；氟骨症患者参加新农合或城镇医保的为29131人，占97.97%；氟骨症患者评残的为821人，占2.76%。见表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jc w:val="center"/>
        <w:rPr>
          <w:rFonts w:hint="default" w:ascii="Times New Roman" w:hAnsi="宋体" w:eastAsia="宋体" w:cs="Times New Roman"/>
          <w:b/>
          <w:bCs/>
          <w:color w:val="000000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宋体" w:cs="Times New Roman"/>
          <w:b/>
          <w:bCs/>
          <w:color w:val="000000"/>
          <w:kern w:val="0"/>
          <w:sz w:val="21"/>
          <w:szCs w:val="21"/>
          <w:highlight w:val="none"/>
          <w:u w:val="none"/>
          <w:lang w:eastAsia="zh-CN"/>
        </w:rPr>
        <w:t>表</w:t>
      </w:r>
      <w:r>
        <w:rPr>
          <w:rFonts w:hint="default" w:hAnsi="宋体" w:cs="Times New Roman"/>
          <w:b/>
          <w:bCs/>
          <w:color w:val="000000"/>
          <w:kern w:val="0"/>
          <w:sz w:val="21"/>
          <w:szCs w:val="21"/>
          <w:highlight w:val="none"/>
          <w:u w:val="none"/>
          <w:lang w:val="en-US" w:eastAsia="zh-CN"/>
        </w:rPr>
        <w:t>13</w:t>
      </w:r>
      <w:r>
        <w:rPr>
          <w:rFonts w:hint="default" w:ascii="Times New Roman" w:hAnsi="宋体" w:cs="Times New Roman"/>
          <w:b/>
          <w:bCs/>
          <w:color w:val="000000"/>
          <w:kern w:val="0"/>
          <w:sz w:val="21"/>
          <w:szCs w:val="21"/>
          <w:highlight w:val="none"/>
          <w:u w:val="none"/>
          <w:lang w:val="en-US" w:eastAsia="zh-CN"/>
        </w:rPr>
        <w:t xml:space="preserve"> 成人氟骨症调查结果</w:t>
      </w:r>
    </w:p>
    <w:tbl>
      <w:tblPr>
        <w:tblW w:w="8322" w:type="dxa"/>
        <w:jc w:val="center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656"/>
        <w:gridCol w:w="835"/>
        <w:gridCol w:w="656"/>
        <w:gridCol w:w="846"/>
        <w:gridCol w:w="758"/>
        <w:gridCol w:w="973"/>
        <w:gridCol w:w="733"/>
        <w:gridCol w:w="1441"/>
      </w:tblGrid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4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省区</w:t>
            </w:r>
          </w:p>
        </w:tc>
        <w:tc>
          <w:tcPr>
            <w:tcW w:w="740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县数</w:t>
            </w:r>
          </w:p>
        </w:tc>
        <w:tc>
          <w:tcPr>
            <w:tcW w:w="656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村数</w:t>
            </w:r>
          </w:p>
        </w:tc>
        <w:tc>
          <w:tcPr>
            <w:tcW w:w="835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病人数</w:t>
            </w:r>
          </w:p>
        </w:tc>
        <w:tc>
          <w:tcPr>
            <w:tcW w:w="656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轻度</w:t>
            </w:r>
          </w:p>
        </w:tc>
        <w:tc>
          <w:tcPr>
            <w:tcW w:w="846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中度</w:t>
            </w:r>
          </w:p>
        </w:tc>
        <w:tc>
          <w:tcPr>
            <w:tcW w:w="758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重度</w:t>
            </w:r>
          </w:p>
        </w:tc>
        <w:tc>
          <w:tcPr>
            <w:tcW w:w="973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建档立卡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贫困户</w:t>
            </w:r>
          </w:p>
        </w:tc>
        <w:tc>
          <w:tcPr>
            <w:tcW w:w="733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评残</w:t>
            </w:r>
          </w:p>
        </w:tc>
        <w:tc>
          <w:tcPr>
            <w:tcW w:w="1441" w:type="dxa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参加新农合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或城镇医保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内蒙古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469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1892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1131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565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195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201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131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1746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26896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16044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5498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5354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961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683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26846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甘肃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455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宁夏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西藏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33463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20449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8832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4182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63198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38329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15094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9773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</w:tr>
    </w:tbl>
    <w:p>
      <w:pPr>
        <w:pStyle w:val="11"/>
        <w:adjustRightInd w:val="0"/>
        <w:snapToGrid w:val="0"/>
        <w:spacing w:beforeLines="0" w:line="360" w:lineRule="auto"/>
        <w:ind w:firstLine="480" w:firstLineChars="200"/>
        <w:jc w:val="both"/>
        <w:rPr>
          <w:rFonts w:hint="eastAsia" w:ascii="宋体" w:hAnsi="宋体" w:eastAsia="宋体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3.主要结论</w:t>
      </w:r>
    </w:p>
    <w:p>
      <w:pPr>
        <w:pStyle w:val="11"/>
        <w:adjustRightInd w:val="0"/>
        <w:snapToGrid w:val="0"/>
        <w:spacing w:beforeLines="0" w:line="360" w:lineRule="auto"/>
        <w:ind w:firstLine="480"/>
        <w:jc w:val="both"/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7省（区）共检测了45523户（份）砖茶样品含氟量，平均值为541.68mg/kg，砖茶氟含量小于300mg/kg的合格率为21.91%。</w:t>
      </w:r>
    </w:p>
    <w:p>
      <w:pPr>
        <w:pStyle w:val="11"/>
        <w:adjustRightInd w:val="0"/>
        <w:snapToGrid w:val="0"/>
        <w:spacing w:beforeLines="0" w:line="360" w:lineRule="auto"/>
        <w:ind w:firstLine="480"/>
        <w:jc w:val="both"/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（二）本年度内蒙古等6省（区）监测点8-12周岁儿童氟斑牙检出率为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4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.97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%。</w:t>
      </w:r>
    </w:p>
    <w:p>
      <w:pPr>
        <w:pStyle w:val="11"/>
        <w:adjustRightInd w:val="0"/>
        <w:snapToGrid w:val="0"/>
        <w:spacing w:beforeLines="0" w:line="360" w:lineRule="auto"/>
        <w:ind w:firstLine="480"/>
        <w:jc w:val="both"/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（三）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7省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（区）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共检出氟骨症病人63198例，其中，轻度38329例、中度15094例、重度9773例。</w:t>
      </w:r>
    </w:p>
    <w:p>
      <w:pPr>
        <w:pStyle w:val="11"/>
        <w:adjustRightInd w:val="0"/>
        <w:snapToGrid w:val="0"/>
        <w:spacing w:beforeLines="0" w:line="360" w:lineRule="auto"/>
        <w:ind w:firstLine="480" w:firstLineChars="200"/>
        <w:jc w:val="both"/>
        <w:rPr>
          <w:rFonts w:ascii="宋体" w:hAnsi="宋体" w:eastAsia="宋体"/>
          <w:b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4"/>
          <w:szCs w:val="24"/>
          <w:highlight w:val="none"/>
        </w:rPr>
        <w:t>（</w:t>
      </w:r>
      <w:r>
        <w:rPr>
          <w:rFonts w:hint="eastAsia" w:ascii="宋体" w:hAnsi="宋体" w:eastAsia="宋体"/>
          <w:b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）饮水型地方性砷中毒监测</w:t>
      </w:r>
    </w:p>
    <w:p>
      <w:pPr>
        <w:pStyle w:val="11"/>
        <w:spacing w:beforeLines="0" w:line="360" w:lineRule="auto"/>
        <w:ind w:firstLine="480"/>
        <w:jc w:val="both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1.项目完成情况</w:t>
      </w:r>
    </w:p>
    <w:p>
      <w:pPr>
        <w:pStyle w:val="11"/>
        <w:spacing w:beforeLines="0" w:line="360" w:lineRule="auto"/>
        <w:ind w:firstLine="480"/>
        <w:jc w:val="both"/>
        <w:rPr>
          <w:rFonts w:hint="eastAsia"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本年度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共在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14个省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  <w:lang w:val="en-US" w:eastAsia="zh-CN"/>
        </w:rPr>
        <w:t>份和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兵团124个县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2585个自然村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开展饮水型地方性砷中毒监测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。</w:t>
      </w:r>
    </w:p>
    <w:p>
      <w:pPr>
        <w:pStyle w:val="11"/>
        <w:spacing w:beforeLines="0" w:line="360" w:lineRule="auto"/>
        <w:ind w:firstLine="480"/>
        <w:jc w:val="both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2.主要结果</w:t>
      </w:r>
    </w:p>
    <w:p>
      <w:pPr>
        <w:pStyle w:val="11"/>
        <w:adjustRightInd/>
        <w:snapToGrid/>
        <w:spacing w:beforeLines="0" w:line="360" w:lineRule="auto"/>
        <w:ind w:firstLine="480" w:firstLineChars="200"/>
        <w:jc w:val="both"/>
        <w:outlineLvl w:val="0"/>
        <w:rPr>
          <w:rFonts w:hint="eastAsia" w:ascii="宋体" w:hAnsi="宋体" w:eastAsia="宋体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（1）监测村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防控现状</w:t>
      </w:r>
    </w:p>
    <w:p>
      <w:pPr>
        <w:pStyle w:val="11"/>
        <w:adjustRightInd/>
        <w:snapToGrid/>
        <w:spacing w:beforeLines="0" w:line="360" w:lineRule="auto"/>
        <w:ind w:firstLine="480"/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</w:pPr>
      <w:bookmarkStart w:id="0" w:name="_Hlk518489386"/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2585个自然村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  <w:lang w:val="en-US" w:eastAsia="zh-CN"/>
        </w:rPr>
        <w:t>中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，已改水村2537个，占监测村数的98.14%；未改水村48个占监测村数的1.86%。</w:t>
      </w:r>
    </w:p>
    <w:p>
      <w:pPr>
        <w:pStyle w:val="11"/>
        <w:adjustRightInd/>
        <w:snapToGrid/>
        <w:spacing w:beforeLines="0" w:line="360" w:lineRule="auto"/>
        <w:ind w:firstLine="480"/>
        <w:rPr>
          <w:rFonts w:hint="eastAsia" w:ascii="宋体" w:hAnsi="宋体" w:eastAsia="宋体"/>
          <w:bCs w:val="0"/>
          <w:sz w:val="24"/>
          <w:szCs w:val="24"/>
          <w:highlight w:val="none"/>
        </w:rPr>
      </w:pPr>
      <w:bookmarkStart w:id="1" w:name="_Hlk41950967"/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在2537个已改水村共监测了794个改水工程，其中小型工程639个，占80.48%；大型工程155个，占19.52%。正常运转工程777个，占97.86%；间歇运转工程5个，占0.63%；报废工程12个，占1.51%。在这些改水工程中，水砷含量合格工程719个，占90.55%；水砷含量超标工程75个，占9.45%。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结果见表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。</w:t>
      </w:r>
    </w:p>
    <w:bookmarkEnd w:id="1"/>
    <w:p>
      <w:pPr>
        <w:pStyle w:val="11"/>
        <w:adjustRightInd/>
        <w:snapToGrid/>
        <w:spacing w:beforeLines="0" w:line="360" w:lineRule="auto"/>
        <w:ind w:firstLine="480"/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</w:pPr>
      <w:bookmarkStart w:id="2" w:name="_Hlk41951150"/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48个未改水村分布在内蒙古（39个）、吉林（7个）和新疆（2个），共监测了288户家庭的饮用水砷含量（内蒙古268户、吉林13户、新疆7户），水砷含量达标（≤0.05mg/L）283户，合格率为98.26%；水砷含量超标5户，超标率为1.74%，均来自新疆。</w:t>
      </w:r>
      <w:bookmarkEnd w:id="2"/>
    </w:p>
    <w:bookmarkEnd w:id="0"/>
    <w:p>
      <w:pPr>
        <w:spacing w:beforeLines="0" w:line="360" w:lineRule="auto"/>
        <w:ind w:firstLine="422" w:firstLineChars="200"/>
        <w:jc w:val="center"/>
        <w:rPr>
          <w:b/>
          <w:sz w:val="21"/>
          <w:szCs w:val="21"/>
          <w:highlight w:val="none"/>
        </w:rPr>
      </w:pPr>
      <w:bookmarkStart w:id="3" w:name="_Hlk518568295"/>
      <w:r>
        <w:rPr>
          <w:rFonts w:hAnsi="宋体"/>
          <w:b/>
          <w:sz w:val="21"/>
          <w:szCs w:val="21"/>
          <w:highlight w:val="none"/>
        </w:rPr>
        <w:t>表</w:t>
      </w:r>
      <w:r>
        <w:rPr>
          <w:rFonts w:hint="eastAsia"/>
          <w:b/>
          <w:sz w:val="21"/>
          <w:szCs w:val="21"/>
          <w:highlight w:val="none"/>
          <w:lang w:val="en-US" w:eastAsia="zh-CN"/>
        </w:rPr>
        <w:t>14</w:t>
      </w:r>
      <w:r>
        <w:rPr>
          <w:rFonts w:hAnsi="宋体"/>
          <w:b/>
          <w:sz w:val="21"/>
          <w:szCs w:val="21"/>
          <w:highlight w:val="none"/>
        </w:rPr>
        <w:t>改水进度及改水工程</w:t>
      </w:r>
      <w:r>
        <w:rPr>
          <w:rFonts w:hint="eastAsia" w:hAnsi="宋体"/>
          <w:b/>
          <w:sz w:val="21"/>
          <w:szCs w:val="21"/>
          <w:highlight w:val="none"/>
        </w:rPr>
        <w:t>质量</w:t>
      </w:r>
    </w:p>
    <w:bookmarkEnd w:id="3"/>
    <w:tbl>
      <w:tblPr>
        <w:tblW w:w="929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556"/>
        <w:gridCol w:w="674"/>
        <w:gridCol w:w="585"/>
        <w:gridCol w:w="631"/>
        <w:gridCol w:w="704"/>
        <w:gridCol w:w="232"/>
        <w:gridCol w:w="746"/>
        <w:gridCol w:w="760"/>
        <w:gridCol w:w="720"/>
        <w:gridCol w:w="232"/>
        <w:gridCol w:w="689"/>
        <w:gridCol w:w="882"/>
        <w:gridCol w:w="713"/>
        <w:gridCol w:w="59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580" w:type="dxa"/>
            <w:vMerge w:val="restart"/>
            <w:tcBorders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省份</w:t>
            </w:r>
          </w:p>
        </w:tc>
        <w:tc>
          <w:tcPr>
            <w:tcW w:w="556" w:type="dxa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监测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村数</w:t>
            </w:r>
          </w:p>
        </w:tc>
        <w:tc>
          <w:tcPr>
            <w:tcW w:w="674" w:type="dxa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已改水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村数（％）</w:t>
            </w:r>
          </w:p>
        </w:tc>
        <w:tc>
          <w:tcPr>
            <w:tcW w:w="585" w:type="dxa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监测改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工程数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工程规模</w:t>
            </w: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运转情况</w:t>
            </w: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76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水砷含量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80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大型工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（％）</w:t>
            </w:r>
          </w:p>
        </w:tc>
        <w:tc>
          <w:tcPr>
            <w:tcW w:w="70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小型工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（％）</w:t>
            </w:r>
          </w:p>
        </w:tc>
        <w:tc>
          <w:tcPr>
            <w:tcW w:w="2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正常运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转数量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（％）</w:t>
            </w:r>
          </w:p>
        </w:tc>
        <w:tc>
          <w:tcPr>
            <w:tcW w:w="76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间歇运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转数量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（％）</w:t>
            </w:r>
          </w:p>
        </w:tc>
        <w:tc>
          <w:tcPr>
            <w:tcW w:w="72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报废工程数量</w:t>
            </w:r>
          </w:p>
        </w:tc>
        <w:tc>
          <w:tcPr>
            <w:tcW w:w="2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（％）</w:t>
            </w:r>
          </w:p>
        </w:tc>
        <w:tc>
          <w:tcPr>
            <w:tcW w:w="88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覆盖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人口数</w:t>
            </w:r>
          </w:p>
        </w:tc>
        <w:tc>
          <w:tcPr>
            <w:tcW w:w="71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超标工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（％）</w:t>
            </w:r>
          </w:p>
        </w:tc>
        <w:tc>
          <w:tcPr>
            <w:tcW w:w="592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覆盖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人口数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80" w:type="dxa"/>
            <w:tcBorders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山西</w:t>
            </w: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67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520930</w:t>
            </w:r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92" w:type="dxa"/>
            <w:tcBorders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99695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1174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212307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49152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117239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江苏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2388463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安徽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lightGray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1316907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湖北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375658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22472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1089803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甘肃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20423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青海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36083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宁夏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bookmarkStart w:id="4" w:name="_Hlk40994342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322251</w:t>
            </w:r>
            <w:bookmarkEnd w:id="4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7756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新疆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74870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兵团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840734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80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2585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2537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（98.1）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794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155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（19.5）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639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（80.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777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（97.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（0.63）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719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（90.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7474180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（9.5）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225929</w:t>
            </w:r>
          </w:p>
        </w:tc>
      </w:tr>
    </w:tbl>
    <w:p>
      <w:pPr>
        <w:pStyle w:val="11"/>
        <w:adjustRightInd/>
        <w:snapToGrid/>
        <w:spacing w:beforeLines="0" w:line="360" w:lineRule="auto"/>
        <w:ind w:firstLine="480" w:firstLineChars="200"/>
        <w:jc w:val="left"/>
        <w:rPr>
          <w:rFonts w:hint="eastAsia" w:ascii="宋体" w:hAnsi="宋体" w:eastAsia="宋体"/>
          <w:bCs w:val="0"/>
          <w:color w:val="auto"/>
          <w:szCs w:val="24"/>
          <w:highlight w:val="none"/>
        </w:rPr>
      </w:pPr>
      <w:r>
        <w:rPr>
          <w:rFonts w:hint="eastAsia" w:ascii="宋体" w:hAnsi="宋体" w:eastAsia="宋体"/>
          <w:bCs w:val="0"/>
          <w:color w:val="auto"/>
          <w:szCs w:val="24"/>
          <w:highlight w:val="none"/>
        </w:rPr>
        <w:t>（2）砷中毒病情</w:t>
      </w:r>
    </w:p>
    <w:p>
      <w:pPr>
        <w:pStyle w:val="11"/>
        <w:adjustRightInd/>
        <w:snapToGrid/>
        <w:spacing w:beforeLines="0" w:line="360" w:lineRule="auto"/>
        <w:ind w:firstLine="0"/>
        <w:jc w:val="left"/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</w:pPr>
      <w:bookmarkStart w:id="5" w:name="_Hlk41951284"/>
      <w:bookmarkStart w:id="6" w:name="_Hlk518046574"/>
      <w:r>
        <w:rPr>
          <w:rFonts w:hint="eastAsia" w:ascii="宋体" w:hAnsi="宋体" w:eastAsia="宋体"/>
          <w:bCs w:val="0"/>
          <w:szCs w:val="24"/>
          <w:highlight w:val="none"/>
        </w:rPr>
        <w:t>在2429个饮水型砷中毒病区村和高砷村进行了砷中毒病情调查，共检查了116.16万人，其中砷中毒患者4928例，检出率为0.42%，包括轻度病例4195例，检出率为0.36%；中度病例602例，检出率为0.05%；重度病例128例，检出率为0.01%；皮肤癌患者3例，其中内蒙古2例，云南1例。尚有3290例可疑病例，占检查人数的0.28%。未发现砷中毒新发病例。</w:t>
      </w:r>
      <w:bookmarkEnd w:id="5"/>
      <w:r>
        <w:rPr>
          <w:rFonts w:hint="eastAsia" w:ascii="宋体" w:hAnsi="宋体" w:eastAsia="宋体"/>
          <w:bCs w:val="0"/>
          <w:szCs w:val="24"/>
          <w:highlight w:val="none"/>
        </w:rPr>
        <w:t>在各省份中，内蒙古和山西病例较多，分别为2249人和1215人</w:t>
      </w:r>
      <w:bookmarkEnd w:id="6"/>
      <w:bookmarkStart w:id="7" w:name="_Hlk518543680"/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。结果见表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bCs w:val="0"/>
          <w:color w:val="auto"/>
          <w:sz w:val="24"/>
          <w:szCs w:val="24"/>
          <w:highlight w:val="none"/>
        </w:rPr>
        <w:t>。</w:t>
      </w:r>
    </w:p>
    <w:p>
      <w:pPr>
        <w:pStyle w:val="11"/>
        <w:adjustRightInd w:val="0"/>
        <w:snapToGrid w:val="0"/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表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砷中毒病情调查结果</w:t>
      </w:r>
    </w:p>
    <w:bookmarkEnd w:id="7"/>
    <w:tbl>
      <w:tblPr>
        <w:tblW w:w="811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13"/>
        <w:gridCol w:w="955"/>
        <w:gridCol w:w="1293"/>
        <w:gridCol w:w="1375"/>
        <w:gridCol w:w="1030"/>
        <w:gridCol w:w="850"/>
        <w:gridCol w:w="85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省份</w:t>
            </w:r>
          </w:p>
        </w:tc>
        <w:tc>
          <w:tcPr>
            <w:tcW w:w="913" w:type="dxa"/>
            <w:vMerge w:val="restart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监测</w:t>
            </w:r>
          </w:p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县数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监测</w:t>
            </w:r>
          </w:p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村数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检查</w:t>
            </w:r>
          </w:p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人数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病例</w:t>
            </w:r>
          </w:p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总数（%）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新发</w:t>
            </w:r>
          </w:p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病例数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皮肤癌病例数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8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新发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累计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山西</w:t>
            </w:r>
          </w:p>
        </w:tc>
        <w:tc>
          <w:tcPr>
            <w:tcW w:w="913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955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</w:t>
            </w:r>
          </w:p>
        </w:tc>
        <w:tc>
          <w:tcPr>
            <w:tcW w:w="1293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181664</w:t>
            </w:r>
          </w:p>
        </w:tc>
        <w:tc>
          <w:tcPr>
            <w:tcW w:w="1375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1215</w:t>
            </w:r>
          </w:p>
        </w:tc>
        <w:tc>
          <w:tcPr>
            <w:tcW w:w="1030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内蒙古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1174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133676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2249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吉林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118009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江苏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353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安徽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20995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湖北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76528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四川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云南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32547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甘肃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20934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青海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1215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395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宁夏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217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陕西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9780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新疆</w:t>
            </w:r>
          </w:p>
        </w:tc>
        <w:tc>
          <w:tcPr>
            <w:tcW w:w="91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95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428088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兵团</w:t>
            </w:r>
          </w:p>
        </w:tc>
        <w:tc>
          <w:tcPr>
            <w:tcW w:w="91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29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137114</w:t>
            </w:r>
          </w:p>
        </w:tc>
        <w:tc>
          <w:tcPr>
            <w:tcW w:w="137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</w:t>
            </w:r>
          </w:p>
        </w:tc>
        <w:tc>
          <w:tcPr>
            <w:tcW w:w="103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合计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118</w:t>
            </w:r>
          </w:p>
        </w:tc>
        <w:tc>
          <w:tcPr>
            <w:tcW w:w="95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2429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1161593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4928（0.42）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</w:tr>
    </w:tbl>
    <w:p>
      <w:pPr>
        <w:pStyle w:val="11"/>
        <w:adjustRightInd w:val="0"/>
        <w:snapToGrid w:val="0"/>
        <w:spacing w:line="360" w:lineRule="auto"/>
        <w:ind w:firstLine="480"/>
        <w:jc w:val="both"/>
        <w:rPr>
          <w:rFonts w:ascii="宋体" w:hAnsi="宋体" w:eastAsia="宋体"/>
          <w:bCs/>
          <w:color w:val="auto"/>
          <w:sz w:val="24"/>
          <w:szCs w:val="24"/>
          <w:highlight w:val="none"/>
        </w:rPr>
      </w:pPr>
    </w:p>
    <w:p>
      <w:pPr>
        <w:pStyle w:val="11"/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ascii="宋体" w:hAnsi="宋体" w:eastAsia="宋体"/>
          <w:bCs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/>
          <w:bCs/>
          <w:color w:val="auto"/>
          <w:sz w:val="24"/>
          <w:szCs w:val="24"/>
          <w:highlight w:val="none"/>
        </w:rPr>
        <w:t>3.</w:t>
      </w:r>
      <w:r>
        <w:rPr>
          <w:rFonts w:ascii="宋体" w:hAnsi="宋体" w:eastAsia="宋体"/>
          <w:bCs/>
          <w:color w:val="auto"/>
          <w:sz w:val="24"/>
          <w:szCs w:val="24"/>
          <w:highlight w:val="none"/>
        </w:rPr>
        <w:t>主要结论</w:t>
      </w:r>
    </w:p>
    <w:p>
      <w:pPr>
        <w:pStyle w:val="11"/>
        <w:adjustRightInd/>
        <w:snapToGrid/>
        <w:spacing w:beforeLines="0" w:line="360" w:lineRule="auto"/>
        <w:ind w:firstLine="480"/>
        <w:rPr>
          <w:rFonts w:hint="eastAsia" w:ascii="宋体" w:hAnsi="宋体" w:eastAsia="宋体"/>
          <w:bCs w:val="0"/>
          <w:sz w:val="24"/>
          <w:szCs w:val="24"/>
          <w:highlight w:val="none"/>
        </w:rPr>
      </w:pPr>
      <w:r>
        <w:rPr>
          <w:rFonts w:ascii="宋体" w:hAnsi="宋体" w:eastAsia="宋体"/>
          <w:bCs/>
          <w:color w:val="auto"/>
          <w:szCs w:val="24"/>
          <w:highlight w:val="none"/>
        </w:rPr>
        <w:t>（</w:t>
      </w:r>
      <w:r>
        <w:rPr>
          <w:rFonts w:hint="default" w:ascii="宋体" w:hAnsi="宋体" w:eastAsia="宋体"/>
          <w:bCs/>
          <w:color w:val="auto"/>
          <w:szCs w:val="24"/>
          <w:highlight w:val="none"/>
          <w:lang w:val="en-US" w:eastAsia="zh-CN"/>
        </w:rPr>
        <w:t>1</w:t>
      </w:r>
      <w:r>
        <w:rPr>
          <w:rFonts w:ascii="宋体" w:hAnsi="宋体" w:eastAsia="宋体"/>
          <w:bCs/>
          <w:color w:val="auto"/>
          <w:szCs w:val="24"/>
          <w:highlight w:val="none"/>
        </w:rPr>
        <w:t>）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共监测了794个改水工程，正常运转工程777个，占97.86%；水砷含量合格工程719个，占90.55%。48个未改水村共监测了288户家庭的饮用水砷含量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水砷含量达标（≤0.05mg/L）283户，合格率为98.26%。</w:t>
      </w:r>
    </w:p>
    <w:p>
      <w:pPr>
        <w:pStyle w:val="11"/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ascii="宋体" w:hAnsi="宋体" w:eastAsia="宋体"/>
          <w:b w:val="0"/>
          <w:bCs/>
          <w:color w:val="auto"/>
          <w:szCs w:val="24"/>
          <w:highlight w:val="none"/>
        </w:rPr>
      </w:pPr>
      <w:r>
        <w:rPr>
          <w:rFonts w:ascii="宋体" w:hAnsi="宋体" w:eastAsia="宋体"/>
          <w:bCs/>
          <w:color w:val="auto"/>
          <w:szCs w:val="24"/>
          <w:highlight w:val="none"/>
        </w:rPr>
        <w:t>（</w:t>
      </w:r>
      <w:r>
        <w:rPr>
          <w:rFonts w:hint="default" w:ascii="宋体" w:hAnsi="宋体" w:eastAsia="宋体"/>
          <w:bCs/>
          <w:color w:val="auto"/>
          <w:szCs w:val="24"/>
          <w:highlight w:val="none"/>
          <w:lang w:val="en-US" w:eastAsia="zh-CN"/>
        </w:rPr>
        <w:t>2</w:t>
      </w:r>
      <w:r>
        <w:rPr>
          <w:rFonts w:ascii="宋体" w:hAnsi="宋体" w:eastAsia="宋体"/>
          <w:bCs/>
          <w:color w:val="auto"/>
          <w:szCs w:val="24"/>
          <w:highlight w:val="none"/>
        </w:rPr>
        <w:t>）</w:t>
      </w:r>
      <w:bookmarkStart w:id="8" w:name="_Hlk518543827"/>
      <w:bookmarkStart w:id="9" w:name="_Hlk14693054"/>
      <w:r>
        <w:rPr>
          <w:rFonts w:hint="eastAsia" w:ascii="宋体" w:hAnsi="宋体" w:eastAsia="宋体"/>
          <w:bCs w:val="0"/>
          <w:szCs w:val="24"/>
          <w:highlight w:val="none"/>
        </w:rPr>
        <w:t>共检查了116.16万人，其中砷中毒患者4928例，检出率为0.42%，包括轻度病例4195例，检出率为0.36%；中度病例602例，检出率为0.05%；重度病例128例，检出率为0.01%；未发现砷中毒新发病例。</w:t>
      </w:r>
      <w:bookmarkEnd w:id="8"/>
    </w:p>
    <w:bookmarkEnd w:id="9"/>
    <w:p>
      <w:pPr>
        <w:pStyle w:val="11"/>
        <w:spacing w:line="360" w:lineRule="auto"/>
        <w:ind w:firstLine="420"/>
        <w:jc w:val="both"/>
        <w:rPr>
          <w:rFonts w:ascii="宋体" w:hAnsi="宋体" w:eastAsia="宋体"/>
          <w:b/>
          <w:szCs w:val="24"/>
          <w:highlight w:val="none"/>
        </w:rPr>
      </w:pPr>
      <w:r>
        <w:rPr>
          <w:rFonts w:hint="eastAsia" w:ascii="宋体" w:hAnsi="宋体" w:eastAsia="宋体"/>
          <w:b/>
          <w:szCs w:val="24"/>
          <w:highlight w:val="none"/>
        </w:rPr>
        <w:t>（</w:t>
      </w:r>
      <w:r>
        <w:rPr>
          <w:rFonts w:hint="eastAsia" w:ascii="宋体" w:hAnsi="宋体" w:eastAsia="宋体"/>
          <w:b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/>
          <w:b/>
          <w:szCs w:val="24"/>
          <w:highlight w:val="none"/>
        </w:rPr>
        <w:t>）燃煤污染型地方性砷中毒监测</w:t>
      </w:r>
    </w:p>
    <w:p>
      <w:pPr>
        <w:pStyle w:val="11"/>
        <w:spacing w:line="360" w:lineRule="auto"/>
        <w:ind w:firstLine="420"/>
        <w:jc w:val="both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1.项目完成情况</w:t>
      </w:r>
    </w:p>
    <w:p>
      <w:pPr>
        <w:pStyle w:val="11"/>
        <w:spacing w:line="360" w:lineRule="auto"/>
        <w:ind w:firstLine="420"/>
        <w:jc w:val="both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本年度在贵州和陕西2个项目省的各</w:t>
      </w:r>
      <w:r>
        <w:rPr>
          <w:rFonts w:hint="eastAsia" w:ascii="宋体" w:hAnsi="宋体" w:eastAsia="宋体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Cs w:val="24"/>
          <w:highlight w:val="none"/>
        </w:rPr>
        <w:t>个县开展监测工作。目前均按计划完成监测工作。</w:t>
      </w:r>
    </w:p>
    <w:p>
      <w:pPr>
        <w:pStyle w:val="11"/>
        <w:spacing w:line="360" w:lineRule="auto"/>
        <w:ind w:firstLine="480"/>
        <w:jc w:val="both"/>
        <w:rPr>
          <w:rFonts w:ascii="宋体" w:hAnsi="宋体" w:eastAsia="宋体"/>
          <w:szCs w:val="24"/>
          <w:highlight w:val="none"/>
        </w:rPr>
      </w:pPr>
      <w:r>
        <w:rPr>
          <w:rFonts w:hint="eastAsia" w:ascii="宋体" w:hAnsi="宋体" w:eastAsia="宋体"/>
          <w:szCs w:val="24"/>
          <w:highlight w:val="none"/>
        </w:rPr>
        <w:t>2.主要结果</w:t>
      </w:r>
    </w:p>
    <w:p>
      <w:pPr>
        <w:pStyle w:val="11"/>
        <w:adjustRightInd/>
        <w:snapToGrid/>
        <w:spacing w:after="0" w:line="360" w:lineRule="auto"/>
        <w:ind w:left="0" w:leftChars="0" w:firstLine="420" w:firstLineChars="0"/>
        <w:jc w:val="both"/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（1）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改炉改灶情况</w:t>
      </w:r>
    </w:p>
    <w:p>
      <w:pPr>
        <w:pStyle w:val="11"/>
        <w:adjustRightInd w:val="0"/>
        <w:snapToGrid w:val="0"/>
        <w:spacing w:after="0" w:line="360" w:lineRule="auto"/>
        <w:ind w:left="0" w:leftChars="0" w:firstLine="420" w:firstLineChars="200"/>
        <w:jc w:val="both"/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本年度共入户调查了41795户，改良炉灶户为41609户，改良炉灶率为99.55%；合格改良炉灶户为41602，合格改良炉灶率99.54%；</w:t>
      </w:r>
      <w:r>
        <w:rPr>
          <w:rFonts w:hint="eastAsia" w:ascii="宋体" w:hAnsi="宋体" w:eastAsia="宋体" w:cs="Times New Roman"/>
          <w:bCs w:val="0"/>
          <w:sz w:val="24"/>
          <w:szCs w:val="24"/>
          <w:highlight w:val="none"/>
        </w:rPr>
        <w:t>合格改良炉灶全部正确使用，正确使用率为100%。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各县上述3项指标均在95%以上。从各种炉灶类型来看，调查的41795户中，使用改良煤炉（灶）7108户，占17.01％；使用电热器、电炊具等清洁能源灶具34645户，占82.89％；使用其他灶具1037户，占2.48%；使用敞炉（灶）186户，占0.45%。</w:t>
      </w:r>
    </w:p>
    <w:p>
      <w:pPr>
        <w:pStyle w:val="11"/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（2）相关健康生活行为形成情况</w:t>
      </w:r>
    </w:p>
    <w:p>
      <w:pPr>
        <w:pStyle w:val="11"/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全国调查的41795户中，有40816户食用玉米，玉米的食用率为96.15%。在调查的全部居民户中，同时具备正确干燥、保存和加工前淘洗食用玉米条件家庭有</w:t>
      </w:r>
      <w:r>
        <w:rPr>
          <w:rFonts w:hint="eastAsia" w:ascii="宋体" w:hAnsi="宋体" w:eastAsia="宋体" w:cs="Times New Roman"/>
          <w:bCs w:val="0"/>
          <w:sz w:val="24"/>
          <w:szCs w:val="24"/>
          <w:highlight w:val="none"/>
        </w:rPr>
        <w:t>41628户，食用玉米的正确干燥率、正确保管率、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加工前淘洗率</w:t>
      </w:r>
      <w:r>
        <w:rPr>
          <w:rFonts w:hint="eastAsia" w:ascii="宋体" w:hAnsi="宋体" w:eastAsia="宋体" w:cs="Times New Roman"/>
          <w:bCs w:val="0"/>
          <w:sz w:val="24"/>
          <w:szCs w:val="24"/>
          <w:highlight w:val="none"/>
        </w:rPr>
        <w:t>为99.60%。正确干燥辣椒的有41792户，正确干燥率为99.99%；正确保管辣椒的41760户，正确保管率为99.92%；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加工前淘洗的有</w:t>
      </w:r>
      <w:r>
        <w:rPr>
          <w:rFonts w:hint="eastAsia" w:ascii="宋体" w:hAnsi="宋体" w:eastAsia="宋体" w:cs="Times New Roman"/>
          <w:bCs w:val="0"/>
          <w:sz w:val="24"/>
          <w:szCs w:val="24"/>
          <w:highlight w:val="none"/>
        </w:rPr>
        <w:t>41790户，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加工前淘洗率为</w:t>
      </w:r>
      <w:r>
        <w:rPr>
          <w:rFonts w:hint="eastAsia" w:ascii="宋体" w:hAnsi="宋体" w:eastAsia="宋体" w:cs="Times New Roman"/>
          <w:bCs w:val="0"/>
          <w:sz w:val="24"/>
          <w:szCs w:val="24"/>
          <w:highlight w:val="none"/>
        </w:rPr>
        <w:t>99.99%。所有监测县食用玉米和辣椒相关健康生活行为正确率均在95%以上。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（3）砷中毒病情</w:t>
      </w:r>
    </w:p>
    <w:p>
      <w:pPr>
        <w:pStyle w:val="12"/>
        <w:spacing w:line="360" w:lineRule="auto"/>
        <w:ind w:firstLine="480"/>
        <w:rPr>
          <w:rFonts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本年度对所有病区村正在和（或）以往高砷煤暴露的常住人口进行体检，共</w:t>
      </w:r>
      <w:r>
        <w:rPr>
          <w:rFonts w:hAnsi="宋体" w:eastAsia="宋体" w:cs="Times New Roman"/>
          <w:sz w:val="24"/>
          <w:szCs w:val="24"/>
        </w:rPr>
        <w:t>检查</w:t>
      </w:r>
      <w:r>
        <w:rPr>
          <w:rFonts w:hint="eastAsia" w:eastAsia="宋体" w:cs="Times New Roman"/>
          <w:sz w:val="24"/>
          <w:szCs w:val="24"/>
        </w:rPr>
        <w:t>213.96万</w:t>
      </w:r>
      <w:r>
        <w:rPr>
          <w:rFonts w:hAnsi="宋体" w:eastAsia="宋体" w:cs="Times New Roman"/>
          <w:sz w:val="24"/>
          <w:szCs w:val="24"/>
        </w:rPr>
        <w:t>人，</w:t>
      </w:r>
      <w:r>
        <w:rPr>
          <w:rFonts w:hint="eastAsia" w:hAnsi="宋体" w:eastAsia="宋体" w:cs="Times New Roman"/>
          <w:sz w:val="24"/>
          <w:szCs w:val="24"/>
        </w:rPr>
        <w:t>各县体检率均在95%以上。两省共检出砷中毒患者3930例，其中贵州省有736例，占病例总数的18.73%，陕西省有3194例，占病例总数的81.27%。砷中毒患者检出率为0.18%，贵州省检出率（1.16%）高于陕西省检出率（0.15%）。在3930例患者中，有轻度病例3189人，占病例总数的80.92%；中度病例591人，占病例总数的15.04%；重度病例157人，占病例总数的3.99%；皮肤癌患者2人，全部在贵州省，占病例总数的0.05%。两省均无新发砷中毒病例。</w:t>
      </w:r>
      <w:r>
        <w:rPr>
          <w:rFonts w:hAnsi="宋体" w:eastAsia="宋体" w:cs="Times New Roman"/>
          <w:sz w:val="24"/>
          <w:szCs w:val="24"/>
        </w:rPr>
        <w:t>结果见表</w:t>
      </w:r>
      <w:r>
        <w:rPr>
          <w:rFonts w:hint="eastAsia" w:eastAsia="宋体" w:cs="Times New Roman"/>
          <w:sz w:val="24"/>
          <w:szCs w:val="24"/>
          <w:lang w:val="en-US" w:eastAsia="zh-CN"/>
        </w:rPr>
        <w:t>17</w:t>
      </w:r>
      <w:r>
        <w:rPr>
          <w:rFonts w:hAnsi="宋体" w:eastAsia="宋体" w:cs="Times New Roman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表</w:t>
      </w:r>
      <w:r>
        <w:rPr>
          <w:rFonts w:hint="eastAsia" w:ascii="宋体" w:hAnsi="宋体"/>
          <w:b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/>
          <w:szCs w:val="21"/>
          <w:highlight w:val="none"/>
        </w:rPr>
        <w:t xml:space="preserve"> 砷中毒病情调查结果</w:t>
      </w:r>
    </w:p>
    <w:tbl>
      <w:tblPr>
        <w:tblW w:w="7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04"/>
        <w:gridCol w:w="1467"/>
        <w:gridCol w:w="1286"/>
        <w:gridCol w:w="1107"/>
        <w:gridCol w:w="892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4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省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县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病区村常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住人口数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检查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人数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检查率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（%）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检出病例数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检出率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47" w:type="dxa"/>
            <w:vMerge w:val="restart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贵州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安龙县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8991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8991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100.00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兴仁市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32688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32688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100.00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452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兴义市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21303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21303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100.00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138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织金县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629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629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100.00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小计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63611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63611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100.00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736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47" w:type="dxa"/>
            <w:vMerge w:val="restart"/>
            <w:tcBorders>
              <w:top w:val="single" w:color="auto" w:sz="4" w:space="0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陕西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汉滨区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949618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949618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100.00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汉阴县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221120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220288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99.62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855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岚皋县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137015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137015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100.00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1144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平利县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215412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213402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99.07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石泉县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152924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151926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99.35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镇坪县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53684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53684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100.00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紫阳县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321868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321868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100.00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754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47" w:type="dxa"/>
            <w:vMerge w:val="continue"/>
            <w:tcBorders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镇巴县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31254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28214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90.27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小计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2082895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2076015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99.67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3194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2146506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2139626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 xml:space="preserve">99.68 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3930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/>
              </w:rPr>
              <w:t>0.18</w:t>
            </w:r>
          </w:p>
        </w:tc>
      </w:tr>
    </w:tbl>
    <w:p>
      <w:pPr>
        <w:pStyle w:val="12"/>
        <w:adjustRightInd w:val="0"/>
        <w:snapToGrid w:val="0"/>
        <w:spacing w:line="360" w:lineRule="auto"/>
        <w:ind w:firstLine="480" w:firstLineChars="200"/>
        <w:jc w:val="both"/>
        <w:rPr>
          <w:rFonts w:hint="eastAsia" w:ascii="Times New Roman" w:hAnsi="宋体" w:eastAsia="宋体" w:cs="Times New Roman"/>
          <w:bCs w:val="0"/>
          <w:sz w:val="24"/>
          <w:szCs w:val="24"/>
        </w:rPr>
      </w:pPr>
      <w:r>
        <w:rPr>
          <w:rFonts w:hint="default" w:ascii="Times New Roman" w:hAnsi="宋体" w:eastAsia="宋体" w:cs="Times New Roman"/>
          <w:bCs w:val="0"/>
          <w:sz w:val="24"/>
          <w:szCs w:val="24"/>
        </w:rPr>
        <w:t>3.主要结论</w:t>
      </w:r>
    </w:p>
    <w:p>
      <w:pPr>
        <w:pStyle w:val="12"/>
        <w:spacing w:line="360" w:lineRule="auto"/>
        <w:ind w:firstLine="480"/>
        <w:rPr>
          <w:rFonts w:hint="default" w:hAnsi="宋体" w:eastAsia="宋体" w:cs="Times New Roman"/>
          <w:sz w:val="24"/>
          <w:szCs w:val="24"/>
          <w:lang w:eastAsia="zh-CN"/>
        </w:rPr>
      </w:pPr>
      <w:r>
        <w:rPr>
          <w:rFonts w:hint="default" w:ascii="Times New Roman" w:hAnsi="宋体" w:eastAsia="宋体" w:cs="Times New Roman"/>
          <w:bCs w:val="0"/>
          <w:sz w:val="24"/>
          <w:szCs w:val="24"/>
        </w:rPr>
        <w:t>（</w:t>
      </w:r>
      <w:r>
        <w:rPr>
          <w:rFonts w:hint="default" w:ascii="Times New Roman" w:hAnsi="宋体" w:eastAsia="宋体" w:cs="Times New Roman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宋体" w:eastAsia="宋体" w:cs="Times New Roman"/>
          <w:bCs w:val="0"/>
          <w:sz w:val="24"/>
          <w:szCs w:val="24"/>
        </w:rPr>
        <w:t>）</w:t>
      </w:r>
      <w:r>
        <w:rPr>
          <w:rFonts w:hint="eastAsia" w:hAnsi="宋体" w:eastAsia="宋体" w:cs="Times New Roman"/>
          <w:sz w:val="24"/>
          <w:szCs w:val="24"/>
        </w:rPr>
        <w:t>本年度</w:t>
      </w:r>
      <w:r>
        <w:rPr>
          <w:rFonts w:hint="default" w:hAnsi="宋体" w:eastAsia="宋体" w:cs="Times New Roman"/>
          <w:sz w:val="24"/>
          <w:szCs w:val="24"/>
        </w:rPr>
        <w:t>共入户调查了41795户</w:t>
      </w:r>
      <w:r>
        <w:rPr>
          <w:rFonts w:hint="eastAsia" w:hAnsi="宋体" w:eastAsia="宋体" w:cs="Times New Roman"/>
          <w:sz w:val="24"/>
          <w:szCs w:val="24"/>
        </w:rPr>
        <w:t>，</w:t>
      </w:r>
      <w:r>
        <w:rPr>
          <w:rFonts w:hint="default" w:hAnsi="宋体" w:eastAsia="宋体" w:cs="Times New Roman"/>
          <w:sz w:val="24"/>
          <w:szCs w:val="24"/>
        </w:rPr>
        <w:t>改良炉灶户为41609户，改良炉灶率为</w:t>
      </w:r>
      <w:r>
        <w:rPr>
          <w:rFonts w:hint="eastAsia" w:hAnsi="宋体" w:eastAsia="宋体" w:cs="Times New Roman"/>
          <w:sz w:val="24"/>
          <w:szCs w:val="24"/>
        </w:rPr>
        <w:t>99.</w:t>
      </w:r>
      <w:r>
        <w:rPr>
          <w:rFonts w:hint="default" w:hAnsi="宋体" w:eastAsia="宋体" w:cs="Times New Roman"/>
          <w:sz w:val="24"/>
          <w:szCs w:val="24"/>
        </w:rPr>
        <w:t>55</w:t>
      </w:r>
      <w:r>
        <w:rPr>
          <w:rFonts w:hint="eastAsia" w:hAnsi="宋体" w:eastAsia="宋体" w:cs="Times New Roman"/>
          <w:sz w:val="24"/>
          <w:szCs w:val="24"/>
        </w:rPr>
        <w:t>%；</w:t>
      </w:r>
      <w:r>
        <w:rPr>
          <w:rFonts w:hint="default" w:hAnsi="宋体" w:eastAsia="宋体" w:cs="Times New Roman"/>
          <w:sz w:val="24"/>
          <w:szCs w:val="24"/>
        </w:rPr>
        <w:t>合格改良炉灶户为41602</w:t>
      </w:r>
      <w:r>
        <w:rPr>
          <w:rFonts w:hint="eastAsia" w:hAnsi="宋体" w:eastAsia="宋体" w:cs="Times New Roman"/>
          <w:sz w:val="24"/>
          <w:szCs w:val="24"/>
        </w:rPr>
        <w:t>，</w:t>
      </w:r>
      <w:r>
        <w:rPr>
          <w:rFonts w:hint="default" w:hAnsi="宋体" w:eastAsia="宋体" w:cs="Times New Roman"/>
          <w:sz w:val="24"/>
          <w:szCs w:val="24"/>
        </w:rPr>
        <w:t>合格改良炉灶率</w:t>
      </w:r>
      <w:r>
        <w:rPr>
          <w:rFonts w:hint="eastAsia" w:hAnsi="宋体" w:eastAsia="宋体" w:cs="Times New Roman"/>
          <w:sz w:val="24"/>
          <w:szCs w:val="24"/>
        </w:rPr>
        <w:t>9</w:t>
      </w:r>
      <w:r>
        <w:rPr>
          <w:rFonts w:hint="default" w:hAnsi="宋体" w:eastAsia="宋体" w:cs="Times New Roman"/>
          <w:sz w:val="24"/>
          <w:szCs w:val="24"/>
        </w:rPr>
        <w:t>9.54</w:t>
      </w:r>
      <w:r>
        <w:rPr>
          <w:rFonts w:hint="eastAsia" w:hAnsi="宋体" w:eastAsia="宋体" w:cs="Times New Roman"/>
          <w:sz w:val="24"/>
          <w:szCs w:val="24"/>
        </w:rPr>
        <w:t>%；</w:t>
      </w:r>
      <w:r>
        <w:rPr>
          <w:rFonts w:hint="default" w:hAnsi="宋体" w:eastAsia="宋体" w:cs="Times New Roman"/>
          <w:bCs w:val="0"/>
          <w:sz w:val="24"/>
          <w:szCs w:val="24"/>
        </w:rPr>
        <w:t>合格改良炉灶全部正确使用，正确使用率为100%。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</w:rPr>
        <w:t>所有监测县食用玉米和辣椒相关健康生活行为正确率均在95%以上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  <w:lang w:eastAsia="zh-CN"/>
        </w:rPr>
        <w:t>。</w:t>
      </w:r>
    </w:p>
    <w:p>
      <w:pPr>
        <w:pStyle w:val="12"/>
        <w:adjustRightInd w:val="0"/>
        <w:snapToGrid w:val="0"/>
        <w:spacing w:after="0" w:line="360" w:lineRule="auto"/>
        <w:ind w:left="0" w:leftChars="0" w:firstLine="480" w:firstLineChars="200"/>
        <w:jc w:val="both"/>
        <w:rPr>
          <w:rFonts w:hint="default" w:ascii="Times New Roman" w:hAnsi="宋体" w:eastAsia="宋体" w:cs="Times New Roman"/>
          <w:bCs w:val="0"/>
          <w:sz w:val="24"/>
          <w:szCs w:val="24"/>
        </w:rPr>
      </w:pPr>
      <w:r>
        <w:rPr>
          <w:rFonts w:hint="default" w:ascii="Times New Roman" w:hAnsi="宋体" w:eastAsia="宋体" w:cs="Times New Roman"/>
          <w:bCs w:val="0"/>
          <w:sz w:val="24"/>
          <w:szCs w:val="24"/>
        </w:rPr>
        <w:t>（</w:t>
      </w:r>
      <w:r>
        <w:rPr>
          <w:rFonts w:hint="default" w:ascii="Times New Roman" w:hAnsi="宋体" w:eastAsia="宋体" w:cs="Times New Roman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宋体" w:eastAsia="宋体" w:cs="Times New Roman"/>
          <w:bCs w:val="0"/>
          <w:sz w:val="24"/>
          <w:szCs w:val="24"/>
        </w:rPr>
        <w:t>）本年度共体检</w:t>
      </w:r>
      <w:r>
        <w:rPr>
          <w:rFonts w:hint="default" w:hAnsi="宋体" w:eastAsia="宋体" w:cs="Times New Roman"/>
          <w:sz w:val="24"/>
          <w:szCs w:val="24"/>
        </w:rPr>
        <w:t>213.96万</w:t>
      </w:r>
      <w:r>
        <w:rPr>
          <w:rFonts w:hint="eastAsia" w:hAnsi="宋体" w:eastAsia="宋体" w:cs="Times New Roman"/>
          <w:sz w:val="24"/>
          <w:szCs w:val="24"/>
        </w:rPr>
        <w:t>人</w:t>
      </w:r>
      <w:r>
        <w:rPr>
          <w:rFonts w:hint="default" w:ascii="Times New Roman" w:hAnsi="宋体" w:eastAsia="宋体" w:cs="Times New Roman"/>
          <w:bCs w:val="0"/>
          <w:sz w:val="24"/>
          <w:szCs w:val="24"/>
        </w:rPr>
        <w:t>，砷中毒病人检出率为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  <w:lang w:eastAsia="zh-CN"/>
        </w:rPr>
        <w:t>0</w:t>
      </w:r>
      <w:r>
        <w:rPr>
          <w:rFonts w:hint="default" w:ascii="Times New Roman" w:hAnsi="宋体" w:eastAsia="宋体" w:cs="Times New Roman"/>
          <w:bCs w:val="0"/>
          <w:sz w:val="24"/>
          <w:szCs w:val="24"/>
          <w:highlight w:val="none"/>
          <w:lang w:val="en-US" w:eastAsia="zh-CN"/>
        </w:rPr>
        <w:t>.18</w:t>
      </w:r>
      <w:r>
        <w:rPr>
          <w:rFonts w:hint="default" w:ascii="Times New Roman" w:hAnsi="宋体" w:eastAsia="宋体" w:cs="Times New Roman"/>
          <w:bCs w:val="0"/>
          <w:sz w:val="24"/>
          <w:szCs w:val="24"/>
        </w:rPr>
        <w:t>%，无新</w:t>
      </w:r>
      <w:r>
        <w:rPr>
          <w:rFonts w:hint="default" w:ascii="Times New Roman" w:hAnsi="宋体" w:eastAsia="宋体" w:cs="Times New Roman"/>
          <w:bCs w:val="0"/>
          <w:sz w:val="24"/>
          <w:szCs w:val="24"/>
          <w:lang w:eastAsia="zh-CN"/>
        </w:rPr>
        <w:t>发砷中毒</w:t>
      </w:r>
      <w:r>
        <w:rPr>
          <w:rFonts w:hint="default" w:ascii="Times New Roman" w:hAnsi="宋体" w:eastAsia="宋体" w:cs="Times New Roman"/>
          <w:bCs w:val="0"/>
          <w:sz w:val="24"/>
          <w:szCs w:val="24"/>
        </w:rPr>
        <w:t>病例。</w:t>
      </w:r>
    </w:p>
    <w:p>
      <w:pPr>
        <w:pStyle w:val="11"/>
        <w:spacing w:line="360" w:lineRule="auto"/>
        <w:ind w:firstLine="480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Cs w:val="24"/>
        </w:rPr>
        <w:t>（</w:t>
      </w:r>
      <w:r>
        <w:rPr>
          <w:rFonts w:hint="eastAsia" w:ascii="宋体" w:hAnsi="宋体" w:eastAsia="宋体"/>
          <w:b/>
          <w:szCs w:val="24"/>
          <w:lang w:val="en-US" w:eastAsia="zh-CN"/>
        </w:rPr>
        <w:t>八</w:t>
      </w:r>
      <w:r>
        <w:rPr>
          <w:rFonts w:hint="eastAsia" w:ascii="宋体" w:hAnsi="宋体" w:eastAsia="宋体"/>
          <w:b/>
          <w:szCs w:val="24"/>
        </w:rPr>
        <w:t>）大骨节病防治</w:t>
      </w:r>
    </w:p>
    <w:p>
      <w:pPr>
        <w:pStyle w:val="12"/>
        <w:adjustRightInd w:val="0"/>
        <w:snapToGrid w:val="0"/>
        <w:spacing w:line="360" w:lineRule="auto"/>
        <w:ind w:firstLine="480" w:firstLineChars="200"/>
        <w:jc w:val="both"/>
        <w:rPr>
          <w:rFonts w:hint="default" w:ascii="Times New Roman" w:hAnsi="宋体" w:eastAsia="宋体" w:cs="Times New Roman"/>
          <w:bCs w:val="0"/>
          <w:sz w:val="24"/>
          <w:szCs w:val="24"/>
        </w:rPr>
      </w:pPr>
      <w:r>
        <w:rPr>
          <w:rFonts w:hint="default" w:ascii="Times New Roman" w:hAnsi="宋体" w:eastAsia="宋体" w:cs="Times New Roman"/>
          <w:bCs w:val="0"/>
          <w:sz w:val="24"/>
          <w:szCs w:val="24"/>
        </w:rPr>
        <w:t>1．项目完成情况</w:t>
      </w:r>
    </w:p>
    <w:p>
      <w:pPr>
        <w:pStyle w:val="12"/>
        <w:adjustRightInd w:val="0"/>
        <w:snapToGrid w:val="0"/>
        <w:spacing w:line="360" w:lineRule="auto"/>
        <w:ind w:firstLine="480" w:firstLineChars="200"/>
        <w:jc w:val="both"/>
        <w:rPr>
          <w:rFonts w:hint="eastAsia" w:hAnsi="宋体" w:eastAsia="宋体" w:cs="Times New Roman"/>
          <w:sz w:val="24"/>
          <w:szCs w:val="24"/>
          <w:lang w:eastAsia="zh-CN"/>
        </w:rPr>
      </w:pPr>
      <w:r>
        <w:rPr>
          <w:rFonts w:hint="eastAsia" w:hAnsi="宋体" w:eastAsia="宋体" w:cs="Times New Roman"/>
          <w:sz w:val="24"/>
          <w:szCs w:val="24"/>
          <w:lang w:val="en-US" w:eastAsia="zh-CN"/>
        </w:rPr>
        <w:t>本年度</w:t>
      </w:r>
      <w:r>
        <w:rPr>
          <w:rFonts w:hAnsi="宋体" w:eastAsia="宋体" w:cs="Times New Roman"/>
          <w:sz w:val="24"/>
          <w:szCs w:val="24"/>
        </w:rPr>
        <w:t>共</w:t>
      </w:r>
      <w:r>
        <w:rPr>
          <w:rFonts w:hint="eastAsia" w:hAnsi="宋体" w:eastAsia="宋体" w:cs="Times New Roman"/>
          <w:sz w:val="24"/>
          <w:szCs w:val="24"/>
          <w:lang w:val="en-US" w:eastAsia="zh-CN"/>
        </w:rPr>
        <w:t>在</w:t>
      </w:r>
      <w:r>
        <w:rPr>
          <w:rFonts w:hAnsi="宋体" w:eastAsia="宋体" w:cs="Times New Roman"/>
          <w:sz w:val="24"/>
          <w:szCs w:val="24"/>
        </w:rPr>
        <w:t>372个县的2032个乡16559个病区村</w:t>
      </w:r>
      <w:r>
        <w:rPr>
          <w:rFonts w:hint="eastAsia" w:hAnsi="宋体" w:eastAsia="宋体" w:cs="Times New Roman"/>
          <w:sz w:val="24"/>
          <w:szCs w:val="24"/>
          <w:lang w:val="en-US" w:eastAsia="zh-CN"/>
        </w:rPr>
        <w:t>开展了</w:t>
      </w:r>
      <w:r>
        <w:rPr>
          <w:rFonts w:hAnsi="宋体" w:eastAsia="宋体" w:cs="Times New Roman"/>
          <w:sz w:val="24"/>
          <w:szCs w:val="24"/>
        </w:rPr>
        <w:t>大骨节病病情监测</w:t>
      </w:r>
      <w:r>
        <w:rPr>
          <w:rFonts w:hint="eastAsia" w:hAnsi="宋体" w:eastAsia="宋体" w:cs="Times New Roman"/>
          <w:sz w:val="24"/>
          <w:szCs w:val="24"/>
          <w:lang w:eastAsia="zh-CN"/>
        </w:rPr>
        <w:t>。</w:t>
      </w:r>
    </w:p>
    <w:p>
      <w:pPr>
        <w:pStyle w:val="12"/>
        <w:adjustRightInd w:val="0"/>
        <w:snapToGrid w:val="0"/>
        <w:spacing w:line="360" w:lineRule="auto"/>
        <w:ind w:firstLine="480" w:firstLineChars="200"/>
        <w:jc w:val="both"/>
        <w:rPr>
          <w:rFonts w:hint="default" w:ascii="Times New Roman" w:hAnsi="宋体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宋体" w:eastAsia="宋体" w:cs="Times New Roman"/>
          <w:bCs w:val="0"/>
          <w:sz w:val="24"/>
          <w:szCs w:val="24"/>
        </w:rPr>
        <w:t>2．主要结果</w:t>
      </w:r>
    </w:p>
    <w:p>
      <w:pPr>
        <w:pStyle w:val="12"/>
        <w:adjustRightInd w:val="0"/>
        <w:snapToGrid w:val="0"/>
        <w:spacing w:line="360" w:lineRule="auto"/>
        <w:ind w:firstLine="480" w:firstLineChars="200"/>
        <w:jc w:val="both"/>
        <w:rPr>
          <w:rFonts w:hint="default" w:ascii="Times New Roman" w:hAnsi="宋体" w:eastAsia="宋体" w:cs="Times New Roman"/>
          <w:bCs w:val="0"/>
          <w:sz w:val="24"/>
          <w:szCs w:val="24"/>
          <w:lang w:val="en-US" w:eastAsia="zh-CN"/>
        </w:rPr>
      </w:pPr>
      <w:r>
        <w:rPr>
          <w:rFonts w:hint="default" w:ascii="Times New Roman" w:hAnsi="宋体" w:eastAsia="宋体" w:cs="Times New Roman"/>
          <w:bCs w:val="0"/>
          <w:sz w:val="24"/>
          <w:szCs w:val="24"/>
        </w:rPr>
        <w:t>（1）大骨节病病情</w:t>
      </w:r>
      <w:r>
        <w:rPr>
          <w:rFonts w:hint="default" w:ascii="Times New Roman" w:hAnsi="宋体" w:eastAsia="宋体" w:cs="Times New Roman"/>
          <w:bCs w:val="0"/>
          <w:sz w:val="24"/>
          <w:szCs w:val="24"/>
          <w:lang w:val="en-US" w:eastAsia="zh-CN"/>
        </w:rPr>
        <w:t>监测结果</w:t>
      </w:r>
    </w:p>
    <w:p>
      <w:pPr>
        <w:pStyle w:val="12"/>
        <w:adjustRightInd w:val="0"/>
        <w:snapToGrid w:val="0"/>
        <w:spacing w:line="360" w:lineRule="auto"/>
        <w:ind w:firstLine="480" w:firstLineChars="200"/>
        <w:jc w:val="both"/>
        <w:rPr>
          <w:rFonts w:hint="default" w:ascii="Times New Roman" w:hAnsi="宋体" w:eastAsia="宋体" w:cs="Times New Roman"/>
          <w:bCs w:val="0"/>
          <w:color w:val="000000"/>
          <w:kern w:val="2"/>
          <w:sz w:val="24"/>
          <w:szCs w:val="24"/>
        </w:rPr>
      </w:pPr>
      <w:r>
        <w:rPr>
          <w:rFonts w:hAnsi="宋体" w:eastAsia="宋体" w:cs="Times New Roman"/>
          <w:sz w:val="24"/>
          <w:szCs w:val="24"/>
        </w:rPr>
        <w:t>在监测的</w:t>
      </w:r>
      <w:r>
        <w:rPr>
          <w:rFonts w:hAnsi="宋体" w:eastAsia="宋体" w:cs="Times New Roman"/>
          <w:bCs w:val="0"/>
          <w:kern w:val="2"/>
          <w:sz w:val="24"/>
          <w:szCs w:val="24"/>
        </w:rPr>
        <w:t>823365</w:t>
      </w:r>
      <w:r>
        <w:rPr>
          <w:rFonts w:hAnsi="宋体" w:eastAsia="宋体" w:cs="Times New Roman"/>
          <w:sz w:val="24"/>
          <w:szCs w:val="24"/>
        </w:rPr>
        <w:t>名</w:t>
      </w:r>
      <w:r>
        <w:rPr>
          <w:rFonts w:hAnsi="宋体" w:eastAsia="宋体" w:cs="Times New Roman"/>
          <w:bCs w:val="0"/>
          <w:kern w:val="2"/>
          <w:sz w:val="24"/>
          <w:szCs w:val="24"/>
        </w:rPr>
        <w:t>7～12岁儿</w:t>
      </w:r>
      <w:r>
        <w:rPr>
          <w:rFonts w:hAnsi="宋体" w:eastAsia="宋体" w:cs="Times New Roman"/>
          <w:sz w:val="24"/>
          <w:szCs w:val="24"/>
        </w:rPr>
        <w:t>童中，共有3057名儿童具有类似大骨节病的临床体征</w:t>
      </w:r>
      <w:r>
        <w:rPr>
          <w:rFonts w:hAnsi="宋体" w:eastAsia="宋体" w:cs="Times New Roman"/>
          <w:bCs w:val="0"/>
          <w:color w:val="000000"/>
          <w:kern w:val="2"/>
          <w:sz w:val="24"/>
          <w:szCs w:val="24"/>
        </w:rPr>
        <w:t>，因此对其拍摄</w:t>
      </w:r>
      <w:r>
        <w:rPr>
          <w:rFonts w:hAnsi="宋体" w:eastAsia="宋体" w:cs="Times New Roman"/>
          <w:sz w:val="24"/>
          <w:szCs w:val="24"/>
        </w:rPr>
        <w:t>双手X线片进行</w:t>
      </w:r>
      <w:r>
        <w:rPr>
          <w:rFonts w:hint="default" w:hAnsi="宋体" w:eastAsia="宋体" w:cs="Times New Roman"/>
          <w:sz w:val="24"/>
          <w:szCs w:val="24"/>
        </w:rPr>
        <w:t>复检</w:t>
      </w:r>
      <w:r>
        <w:rPr>
          <w:rFonts w:hAnsi="宋体" w:eastAsia="宋体" w:cs="Times New Roman"/>
          <w:sz w:val="24"/>
          <w:szCs w:val="24"/>
        </w:rPr>
        <w:t>。X线</w:t>
      </w:r>
      <w:r>
        <w:rPr>
          <w:rFonts w:hint="default" w:hAnsi="宋体" w:eastAsia="宋体" w:cs="Times New Roman"/>
          <w:sz w:val="24"/>
          <w:szCs w:val="24"/>
        </w:rPr>
        <w:t>复检</w:t>
      </w:r>
      <w:r>
        <w:rPr>
          <w:rFonts w:hAnsi="宋体" w:eastAsia="宋体" w:cs="Times New Roman"/>
          <w:sz w:val="24"/>
          <w:szCs w:val="24"/>
        </w:rPr>
        <w:t>结果显示</w:t>
      </w:r>
      <w:r>
        <w:rPr>
          <w:rFonts w:hAnsi="宋体" w:eastAsia="宋体" w:cs="Times New Roman"/>
          <w:bCs w:val="0"/>
          <w:color w:val="000000"/>
          <w:kern w:val="2"/>
          <w:sz w:val="24"/>
          <w:szCs w:val="24"/>
        </w:rPr>
        <w:t>3057名儿童X线表现均正常，无X线阳性改变</w:t>
      </w:r>
      <w:r>
        <w:rPr>
          <w:rFonts w:hAnsi="宋体" w:eastAsia="宋体" w:cs="Times New Roman"/>
          <w:sz w:val="24"/>
          <w:szCs w:val="24"/>
        </w:rPr>
        <w:t>，即未检出儿童大骨节病病例。</w:t>
      </w:r>
      <w:r>
        <w:rPr>
          <w:rFonts w:hint="default" w:ascii="Times New Roman" w:hAnsi="宋体" w:eastAsia="宋体" w:cs="Times New Roman"/>
          <w:bCs w:val="0"/>
          <w:color w:val="000000"/>
          <w:kern w:val="2"/>
          <w:sz w:val="24"/>
          <w:szCs w:val="24"/>
        </w:rPr>
        <w:t>见表</w:t>
      </w:r>
      <w:r>
        <w:rPr>
          <w:rFonts w:hint="default" w:ascii="Times New Roman" w:hAnsi="宋体" w:eastAsia="宋体" w:cs="Times New Roman"/>
          <w:bCs w:val="0"/>
          <w:color w:val="000000"/>
          <w:kern w:val="2"/>
          <w:sz w:val="24"/>
          <w:szCs w:val="24"/>
          <w:lang w:val="en-US" w:eastAsia="zh-CN"/>
        </w:rPr>
        <w:t>1</w:t>
      </w:r>
      <w:r>
        <w:rPr>
          <w:rFonts w:hint="default" w:ascii="Times New Roman" w:hAnsi="宋体" w:eastAsia="宋体" w:cs="Times New Roman"/>
          <w:bCs w:val="0"/>
          <w:color w:val="000000"/>
          <w:kern w:val="2"/>
          <w:sz w:val="24"/>
          <w:szCs w:val="24"/>
          <w:lang w:val="en-US" w:eastAsia="zh-CN"/>
        </w:rPr>
        <w:t>8</w:t>
      </w:r>
      <w:r>
        <w:rPr>
          <w:rFonts w:hint="default" w:ascii="Times New Roman" w:hAnsi="宋体" w:eastAsia="宋体" w:cs="Times New Roman"/>
          <w:bCs w:val="0"/>
          <w:color w:val="000000"/>
          <w:kern w:val="2"/>
          <w:sz w:val="24"/>
          <w:szCs w:val="24"/>
        </w:rPr>
        <w:t>。</w:t>
      </w:r>
    </w:p>
    <w:p>
      <w:pPr>
        <w:spacing w:line="360" w:lineRule="auto"/>
        <w:ind w:firstLine="420"/>
        <w:jc w:val="center"/>
        <w:rPr>
          <w:b/>
          <w:szCs w:val="21"/>
        </w:rPr>
      </w:pPr>
      <w:r>
        <w:rPr>
          <w:b/>
          <w:szCs w:val="21"/>
        </w:rPr>
        <w:t>表</w:t>
      </w:r>
      <w:r>
        <w:rPr>
          <w:rFonts w:hint="eastAsia"/>
          <w:b/>
          <w:szCs w:val="21"/>
          <w:lang w:val="en-US" w:eastAsia="zh-CN"/>
        </w:rPr>
        <w:t>18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>7～12岁儿童</w:t>
      </w:r>
      <w:r>
        <w:rPr>
          <w:rFonts w:hint="eastAsia"/>
          <w:b/>
          <w:szCs w:val="21"/>
          <w:lang w:val="en-US" w:eastAsia="zh-CN"/>
        </w:rPr>
        <w:t>监测</w:t>
      </w:r>
      <w:r>
        <w:rPr>
          <w:b/>
          <w:szCs w:val="21"/>
        </w:rPr>
        <w:t>结果</w:t>
      </w:r>
    </w:p>
    <w:tbl>
      <w:tblPr>
        <w:tblW w:w="8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43"/>
        <w:gridCol w:w="896"/>
        <w:gridCol w:w="639"/>
        <w:gridCol w:w="1023"/>
        <w:gridCol w:w="768"/>
        <w:gridCol w:w="767"/>
        <w:gridCol w:w="768"/>
        <w:gridCol w:w="1055"/>
        <w:gridCol w:w="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96" w:type="dxa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>省  份</w:t>
            </w:r>
          </w:p>
        </w:tc>
        <w:tc>
          <w:tcPr>
            <w:tcW w:w="843" w:type="dxa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临床检查人数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X线复检人数</w:t>
            </w:r>
          </w:p>
        </w:tc>
        <w:tc>
          <w:tcPr>
            <w:tcW w:w="5020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>X线复检结果</w:t>
            </w:r>
          </w:p>
        </w:tc>
        <w:tc>
          <w:tcPr>
            <w:tcW w:w="843" w:type="dxa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8"/>
              </w:rPr>
              <w:t>确诊</w:t>
            </w:r>
          </w:p>
          <w:p>
            <w:pPr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>病例数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6" w:type="dxa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等线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>正常人数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>干骺端阳性人数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>骨骺阳性人数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>骨端阳性人数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>腕骨阳性人数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>三联征阳性人数</w:t>
            </w:r>
          </w:p>
        </w:tc>
        <w:tc>
          <w:tcPr>
            <w:tcW w:w="843" w:type="dxa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河  北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3754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山  西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16966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内蒙古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70535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辽  宁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32683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吉  林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117204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黑龙江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76062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山  东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河  南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11644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四  川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22693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2188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2188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西  藏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14838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陕  西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213904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甘  肃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241738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青  海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sz w:val="18"/>
                <w:szCs w:val="18"/>
              </w:rPr>
              <w:t>1025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合  计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823365</w:t>
            </w: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3057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3057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eastAsia="等线"/>
                <w:b w:val="0"/>
                <w:bCs w:val="0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pStyle w:val="9"/>
        <w:adjustRightInd w:val="0"/>
        <w:snapToGrid w:val="0"/>
        <w:spacing w:beforeLines="0" w:line="360" w:lineRule="auto"/>
        <w:ind w:firstLine="480" w:firstLineChars="200"/>
        <w:jc w:val="both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病区村消除情况</w:t>
      </w:r>
    </w:p>
    <w:p>
      <w:pPr>
        <w:adjustRightInd w:val="0"/>
        <w:snapToGrid w:val="0"/>
        <w:spacing w:before="0" w:line="360" w:lineRule="auto"/>
        <w:ind w:firstLine="480" w:firstLineChars="200"/>
        <w:jc w:val="both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sz w:val="24"/>
        </w:rPr>
        <w:t>按照</w:t>
      </w:r>
      <w:r>
        <w:rPr>
          <w:bCs/>
          <w:kern w:val="0"/>
          <w:sz w:val="24"/>
        </w:rPr>
        <w:t>大骨节病消除评价内容及判定标准</w:t>
      </w:r>
      <w:r>
        <w:rPr>
          <w:sz w:val="24"/>
        </w:rPr>
        <w:t>（</w:t>
      </w:r>
      <w:r>
        <w:rPr>
          <w:rFonts w:hint="eastAsia"/>
          <w:sz w:val="24"/>
        </w:rPr>
        <w:t>【国卫疾控函（2019）169号】，</w:t>
      </w:r>
      <w:r>
        <w:rPr>
          <w:bCs/>
          <w:kern w:val="0"/>
          <w:sz w:val="24"/>
        </w:rPr>
        <w:t>以病区村为单位，7～12周岁儿童无大骨节病病例</w:t>
      </w:r>
      <w:r>
        <w:rPr>
          <w:sz w:val="24"/>
        </w:rPr>
        <w:t>）进行判定，</w:t>
      </w:r>
      <w:r>
        <w:rPr>
          <w:rFonts w:hint="eastAsia"/>
          <w:sz w:val="24"/>
        </w:rPr>
        <w:t>本次监测的</w:t>
      </w:r>
      <w:r>
        <w:rPr>
          <w:sz w:val="24"/>
        </w:rPr>
        <w:t>13个省份的16559个病区村均达到了消除标准</w:t>
      </w:r>
      <w:r>
        <w:rPr>
          <w:rFonts w:hint="eastAsia"/>
          <w:sz w:val="24"/>
        </w:rPr>
        <w:t>。除西藏因未完成全部病区村的监测外，其余</w:t>
      </w:r>
      <w:r>
        <w:rPr>
          <w:sz w:val="24"/>
        </w:rPr>
        <w:t>12个省的病区村消除率均为100%</w:t>
      </w:r>
      <w:r>
        <w:rPr>
          <w:rFonts w:hint="eastAsia"/>
          <w:sz w:val="24"/>
        </w:rPr>
        <w:t>，</w:t>
      </w:r>
      <w:r>
        <w:rPr>
          <w:sz w:val="24"/>
        </w:rPr>
        <w:t>全国病区村消除率为99.01%。</w:t>
      </w:r>
      <w:r>
        <w:rPr>
          <w:rFonts w:ascii="宋体" w:hAnsi="宋体" w:eastAsia="宋体"/>
          <w:bCs/>
          <w:sz w:val="24"/>
          <w:szCs w:val="24"/>
        </w:rPr>
        <w:t>见表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19</w:t>
      </w:r>
      <w:r>
        <w:rPr>
          <w:rFonts w:ascii="宋体" w:hAnsi="宋体" w:eastAsia="宋体"/>
          <w:bCs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422" w:firstLineChars="200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表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/>
          <w:b/>
          <w:bCs/>
          <w:sz w:val="21"/>
          <w:szCs w:val="21"/>
        </w:rPr>
        <w:t xml:space="preserve">  病区村达到消除标准的情况</w:t>
      </w:r>
    </w:p>
    <w:tbl>
      <w:tblPr>
        <w:tblW w:w="78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20"/>
        <w:gridCol w:w="2121"/>
        <w:gridCol w:w="2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7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省  份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病区村数</w:t>
            </w:r>
          </w:p>
        </w:tc>
        <w:tc>
          <w:tcPr>
            <w:tcW w:w="212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消除村数</w:t>
            </w:r>
          </w:p>
        </w:tc>
        <w:tc>
          <w:tcPr>
            <w:tcW w:w="2257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消除率（%）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河  北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88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88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山  西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713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713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内蒙古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1046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1046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辽  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709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709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吉  林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3014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3014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黑龙江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1874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1874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山  东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河  南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377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377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Cs w:val="21"/>
              </w:rPr>
              <w:t>四  川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560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560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Cs w:val="21"/>
              </w:rPr>
              <w:t>西  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543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377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69.43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Cs w:val="21"/>
              </w:rPr>
              <w:t>陕  西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4018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4018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Cs w:val="21"/>
              </w:rPr>
              <w:t>甘  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3741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3741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青  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合  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Cs w:val="21"/>
              </w:rPr>
            </w:pPr>
            <w:r>
              <w:rPr>
                <w:rFonts w:eastAsia="等线"/>
                <w:b w:val="0"/>
                <w:bCs w:val="0"/>
                <w:color w:val="000000"/>
                <w:szCs w:val="21"/>
              </w:rPr>
              <w:t>16725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Cs w:val="21"/>
              </w:rPr>
            </w:pPr>
            <w:r>
              <w:rPr>
                <w:rFonts w:eastAsia="等线"/>
                <w:b w:val="0"/>
                <w:bCs w:val="0"/>
                <w:color w:val="000000"/>
                <w:szCs w:val="21"/>
              </w:rPr>
              <w:t>16559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等线"/>
                <w:b w:val="0"/>
                <w:bCs w:val="0"/>
                <w:color w:val="000000"/>
                <w:szCs w:val="21"/>
              </w:rPr>
            </w:pPr>
            <w:r>
              <w:rPr>
                <w:rFonts w:eastAsia="等线"/>
                <w:b w:val="0"/>
                <w:bCs w:val="0"/>
                <w:color w:val="000000"/>
                <w:szCs w:val="21"/>
              </w:rPr>
              <w:t>99.01</w:t>
            </w:r>
          </w:p>
        </w:tc>
      </w:tr>
    </w:tbl>
    <w:p>
      <w:pPr>
        <w:pStyle w:val="9"/>
        <w:adjustRightInd w:val="0"/>
        <w:spacing w:beforeLines="50" w:line="360" w:lineRule="auto"/>
        <w:ind w:firstLine="484" w:firstLineChars="202"/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pStyle w:val="11"/>
        <w:adjustRightInd w:val="0"/>
        <w:snapToGrid w:val="0"/>
        <w:spacing w:beforeLines="0" w:line="360" w:lineRule="auto"/>
        <w:ind w:firstLine="480" w:firstLineChars="200"/>
        <w:jc w:val="both"/>
        <w:rPr>
          <w:rFonts w:hint="eastAsia" w:ascii="宋体" w:hAnsi="宋体" w:eastAsia="宋体"/>
          <w:bCs w:val="0"/>
          <w:sz w:val="24"/>
          <w:szCs w:val="24"/>
        </w:rPr>
      </w:pPr>
      <w:r>
        <w:rPr>
          <w:rFonts w:hint="eastAsia" w:ascii="宋体" w:hAnsi="宋体" w:eastAsia="宋体"/>
          <w:bCs w:val="0"/>
          <w:sz w:val="24"/>
          <w:szCs w:val="24"/>
        </w:rPr>
        <w:t>3.结论</w:t>
      </w:r>
    </w:p>
    <w:p>
      <w:pPr>
        <w:pStyle w:val="11"/>
        <w:adjustRightInd w:val="0"/>
        <w:snapToGrid w:val="0"/>
        <w:spacing w:beforeLines="0" w:line="360" w:lineRule="auto"/>
        <w:ind w:firstLine="480" w:firstLineChars="200"/>
        <w:jc w:val="both"/>
        <w:rPr>
          <w:rFonts w:hint="eastAsia" w:ascii="宋体" w:hAnsi="宋体" w:eastAsia="宋体"/>
          <w:bCs w:val="0"/>
          <w:sz w:val="24"/>
          <w:szCs w:val="24"/>
        </w:rPr>
      </w:pPr>
      <w:r>
        <w:rPr>
          <w:rFonts w:hint="eastAsia" w:ascii="宋体" w:hAnsi="宋体" w:eastAsia="宋体"/>
          <w:bCs w:val="0"/>
          <w:sz w:val="24"/>
          <w:szCs w:val="24"/>
        </w:rPr>
        <w:t>（</w:t>
      </w:r>
      <w:r>
        <w:rPr>
          <w:rFonts w:hint="eastAsia" w:ascii="宋体" w:hAnsi="宋体" w:eastAsia="宋体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Cs w:val="0"/>
          <w:sz w:val="24"/>
          <w:szCs w:val="24"/>
        </w:rPr>
        <w:t>）本年度无</w:t>
      </w:r>
      <w:r>
        <w:rPr>
          <w:rFonts w:hint="eastAsia" w:ascii="宋体" w:hAnsi="宋体" w:eastAsia="宋体"/>
          <w:bCs w:val="0"/>
          <w:sz w:val="24"/>
          <w:szCs w:val="24"/>
          <w:lang w:val="en-US" w:eastAsia="zh-CN"/>
        </w:rPr>
        <w:t>新发病例检出</w:t>
      </w:r>
      <w:r>
        <w:rPr>
          <w:rFonts w:hint="eastAsia" w:ascii="宋体" w:hAnsi="宋体" w:eastAsia="宋体"/>
          <w:bCs w:val="0"/>
          <w:sz w:val="24"/>
          <w:szCs w:val="24"/>
        </w:rPr>
        <w:t>，全国儿童大骨节病病情持续处于消除水平。</w:t>
      </w:r>
    </w:p>
    <w:p>
      <w:pPr>
        <w:pStyle w:val="11"/>
        <w:adjustRightInd w:val="0"/>
        <w:snapToGrid w:val="0"/>
        <w:spacing w:before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Cs w:val="0"/>
          <w:sz w:val="24"/>
          <w:szCs w:val="24"/>
        </w:rPr>
        <w:t>（</w:t>
      </w:r>
      <w:r>
        <w:rPr>
          <w:rFonts w:hint="eastAsia" w:ascii="宋体" w:hAnsi="宋体" w:eastAsia="宋体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Cs w:val="0"/>
          <w:sz w:val="24"/>
          <w:szCs w:val="24"/>
        </w:rPr>
        <w:t>）</w:t>
      </w:r>
      <w:r>
        <w:rPr>
          <w:rFonts w:hint="eastAsia" w:ascii="宋体" w:hAnsi="宋体" w:eastAsia="宋体"/>
          <w:bCs w:val="0"/>
          <w:sz w:val="24"/>
          <w:szCs w:val="24"/>
          <w:lang w:val="en-US" w:eastAsia="zh-CN"/>
        </w:rPr>
        <w:t>西藏有7个县未提供监测数据，</w:t>
      </w:r>
      <w:r>
        <w:rPr>
          <w:rFonts w:hint="eastAsia" w:ascii="宋体" w:hAnsi="宋体" w:eastAsia="宋体"/>
          <w:sz w:val="24"/>
          <w:szCs w:val="24"/>
        </w:rPr>
        <w:t>全国达到消除标准的病区村比例为99.01%，其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余</w:t>
      </w:r>
      <w:r>
        <w:rPr>
          <w:rFonts w:hint="eastAsia" w:ascii="宋体" w:hAnsi="宋体" w:eastAsia="宋体"/>
          <w:sz w:val="24"/>
          <w:szCs w:val="24"/>
        </w:rPr>
        <w:t>12个病区省份达到消除标准的病区村比例均为100%。</w:t>
      </w:r>
    </w:p>
    <w:p>
      <w:pPr>
        <w:pStyle w:val="11"/>
        <w:spacing w:beforeLines="0" w:line="360" w:lineRule="auto"/>
        <w:ind w:firstLine="480"/>
        <w:rPr>
          <w:rFonts w:hint="eastAsia"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九</w:t>
      </w:r>
      <w:r>
        <w:rPr>
          <w:rFonts w:hint="eastAsia" w:ascii="宋体" w:hAnsi="宋体" w:eastAsia="宋体"/>
          <w:b/>
          <w:bCs/>
          <w:szCs w:val="24"/>
        </w:rPr>
        <w:t>）克山病防治</w:t>
      </w:r>
    </w:p>
    <w:p>
      <w:pPr>
        <w:pStyle w:val="11"/>
        <w:spacing w:beforeLines="0" w:line="360" w:lineRule="auto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1．项目完成情况</w:t>
      </w:r>
    </w:p>
    <w:p>
      <w:pPr>
        <w:pStyle w:val="11"/>
        <w:spacing w:beforeLines="0" w:line="360" w:lineRule="auto"/>
        <w:ind w:firstLine="480"/>
        <w:rPr>
          <w:rFonts w:hint="default" w:ascii="Times New Roman" w:eastAsia="宋体"/>
          <w:szCs w:val="24"/>
          <w:lang w:val="en-US"/>
        </w:rPr>
      </w:pPr>
      <w:r>
        <w:rPr>
          <w:rFonts w:hint="eastAsia" w:ascii="Times New Roman" w:eastAsia="宋体"/>
          <w:bCs w:val="0"/>
          <w:sz w:val="24"/>
          <w:szCs w:val="24"/>
          <w:lang w:val="en-US" w:eastAsia="zh-CN"/>
        </w:rPr>
        <w:t>共在</w:t>
      </w:r>
      <w:r>
        <w:rPr>
          <w:rFonts w:hint="eastAsia" w:ascii="Times New Roman" w:eastAsia="宋体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eastAsia="宋体"/>
          <w:bCs w:val="0"/>
          <w:sz w:val="24"/>
          <w:szCs w:val="24"/>
          <w:lang w:val="en-US" w:eastAsia="zh-CN"/>
        </w:rPr>
        <w:t>6</w:t>
      </w:r>
      <w:r>
        <w:rPr>
          <w:rFonts w:hint="eastAsia" w:ascii="Times New Roman" w:eastAsia="宋体"/>
          <w:bCs w:val="0"/>
          <w:sz w:val="24"/>
          <w:szCs w:val="24"/>
          <w:highlight w:val="none"/>
          <w:lang w:val="en-US" w:eastAsia="zh-CN"/>
        </w:rPr>
        <w:t>个病区省份</w:t>
      </w:r>
      <w:r>
        <w:rPr>
          <w:rFonts w:hint="eastAsia" w:ascii="Times New Roman" w:eastAsia="宋体"/>
          <w:bCs w:val="0"/>
          <w:sz w:val="24"/>
          <w:szCs w:val="24"/>
          <w:lang w:val="en-US" w:eastAsia="zh-CN"/>
        </w:rPr>
        <w:t>的</w:t>
      </w:r>
      <w:r>
        <w:rPr>
          <w:rFonts w:hint="eastAsia" w:ascii="Times New Roman" w:eastAsia="宋体"/>
          <w:bCs w:val="0"/>
          <w:sz w:val="24"/>
          <w:szCs w:val="24"/>
          <w:highlight w:val="none"/>
          <w:lang w:val="en-US" w:eastAsia="zh-CN"/>
        </w:rPr>
        <w:t>2615个病区乡</w:t>
      </w:r>
      <w:r>
        <w:rPr>
          <w:rFonts w:hint="eastAsia" w:ascii="Times New Roman" w:eastAsia="宋体"/>
          <w:bCs w:val="0"/>
          <w:sz w:val="24"/>
          <w:szCs w:val="24"/>
          <w:lang w:val="en-US" w:eastAsia="zh-CN"/>
        </w:rPr>
        <w:t>开展克山病监测。</w:t>
      </w:r>
    </w:p>
    <w:p>
      <w:pPr>
        <w:pStyle w:val="11"/>
        <w:spacing w:beforeLines="0" w:line="360" w:lineRule="auto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2．主要结果</w:t>
      </w:r>
    </w:p>
    <w:p>
      <w:pPr>
        <w:pStyle w:val="11"/>
        <w:spacing w:beforeLines="0"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（1）病情监测</w:t>
      </w:r>
    </w:p>
    <w:p>
      <w:pPr>
        <w:pStyle w:val="11"/>
        <w:widowControl/>
        <w:wordWrap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全国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15个病区省份（除外西藏）2615个病区乡报告在册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克山病病例共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4836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例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，患病率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0.86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/万；其中慢型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克山病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2101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例，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患病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率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0.37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/万；潜在型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克山病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2735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例，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患病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率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0.49</w:t>
      </w:r>
      <w:r>
        <w:rPr>
          <w:rFonts w:hint="eastAsia" w:ascii="宋体" w:hAnsi="宋体" w:eastAsia="宋体"/>
          <w:bCs w:val="0"/>
          <w:sz w:val="24"/>
          <w:szCs w:val="24"/>
          <w:highlight w:val="none"/>
        </w:rPr>
        <w:t>/万。各病区省中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患病率较高的省份为山西、内蒙古和陕西</w:t>
      </w:r>
      <w:r>
        <w:rPr>
          <w:rFonts w:hint="eastAsia" w:ascii="宋体" w:hAnsi="宋体" w:eastAsia="宋体"/>
          <w:bCs w:val="0"/>
          <w:sz w:val="24"/>
          <w:szCs w:val="24"/>
          <w:lang w:eastAsia="zh-CN"/>
        </w:rPr>
        <w:t>3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省份，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eastAsia="zh-CN"/>
        </w:rPr>
        <w:t>患病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率超过2/万。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</w:rPr>
        <w:t>见表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</w:rPr>
        <w:t>。</w:t>
      </w:r>
    </w:p>
    <w:p>
      <w:pPr>
        <w:pStyle w:val="11"/>
        <w:widowControl/>
        <w:wordWrap/>
        <w:adjustRightInd/>
        <w:snapToGrid/>
        <w:spacing w:before="0" w:after="0" w:line="360" w:lineRule="auto"/>
        <w:ind w:firstLine="48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/>
        </w:rPr>
        <w:t xml:space="preserve">表20 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/>
        </w:rPr>
        <w:t>全国克山病现患分布</w:t>
      </w:r>
    </w:p>
    <w:tbl>
      <w:tblPr>
        <w:tblW w:w="80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27"/>
        <w:gridCol w:w="1056"/>
        <w:gridCol w:w="1056"/>
        <w:gridCol w:w="240"/>
        <w:gridCol w:w="984"/>
        <w:gridCol w:w="870"/>
        <w:gridCol w:w="240"/>
        <w:gridCol w:w="67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05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省份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病区乡数量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慢型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潜在型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病例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患病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（1/万）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病例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患病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（1/万）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病例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患病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（1/万）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河北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0.17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0.91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95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山西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0.61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116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5.06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内蒙古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辽宁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吉林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911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1,233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黑龙江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山东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185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河南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0.1</w:t>
            </w: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湖北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四川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854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贵州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云南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188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132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重庆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陕西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0.83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1,007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甘肃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249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509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1.12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159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0.35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668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2,61</w:t>
            </w: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2,10</w:t>
            </w: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0.37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right="191" w:rightChars="91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44" w:rightChars="164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2,73</w:t>
            </w: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191" w:rightChars="91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0.49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4,8</w:t>
            </w: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307" w:rightChars="14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0.86</w:t>
            </w:r>
          </w:p>
        </w:tc>
      </w:tr>
    </w:tbl>
    <w:p>
      <w:pPr>
        <w:pStyle w:val="11"/>
        <w:widowControl w:val="0"/>
        <w:numPr>
          <w:ilvl w:val="0"/>
          <w:numId w:val="0"/>
        </w:numPr>
        <w:wordWrap/>
        <w:adjustRightInd w:val="0"/>
        <w:snapToGrid w:val="0"/>
        <w:spacing w:before="157" w:after="0" w:line="360" w:lineRule="auto"/>
        <w:ind w:left="420" w:leftChars="200" w:firstLine="0" w:firstLineChars="0"/>
        <w:textAlignment w:val="auto"/>
        <w:rPr>
          <w:rFonts w:hint="eastAsia" w:ascii="宋体" w:hAnsi="宋体" w:eastAsia="宋体" w:cs="Times New Roman"/>
          <w:b w:val="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kern w:val="2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Times New Roman"/>
          <w:b w:val="0"/>
          <w:kern w:val="2"/>
          <w:sz w:val="24"/>
          <w:szCs w:val="24"/>
          <w:highlight w:val="none"/>
          <w:lang w:val="en-US" w:eastAsia="zh-CN"/>
        </w:rPr>
        <w:t>控制和消除达标情况</w:t>
      </w:r>
    </w:p>
    <w:p>
      <w:pPr>
        <w:pStyle w:val="11"/>
        <w:tabs>
          <w:tab w:val="left" w:pos="3060"/>
        </w:tabs>
        <w:spacing w:beforeLines="0" w:line="360" w:lineRule="auto"/>
        <w:ind w:firstLine="480" w:firstLineChars="200"/>
        <w:rPr>
          <w:rFonts w:hint="default" w:ascii="宋体" w:hAnsi="宋体" w:eastAsia="宋体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根据</w:t>
      </w:r>
      <w:r>
        <w:rPr>
          <w:rFonts w:hint="eastAsia" w:ascii="宋体" w:hAnsi="宋体" w:eastAsia="宋体"/>
          <w:sz w:val="24"/>
          <w:szCs w:val="24"/>
          <w:highlight w:val="none"/>
        </w:rPr>
        <w:t>克山病控制和消除评价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指标，</w:t>
      </w:r>
      <w:r>
        <w:rPr>
          <w:rFonts w:hint="eastAsia" w:ascii="宋体" w:hAnsi="宋体" w:eastAsia="宋体"/>
          <w:sz w:val="24"/>
          <w:szCs w:val="24"/>
          <w:highlight w:val="none"/>
        </w:rPr>
        <w:t>以乡为单位，全乡（镇）连续5年无急型、亚急型新发病例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，在此基础上，</w:t>
      </w:r>
      <w:r>
        <w:rPr>
          <w:rFonts w:hint="eastAsia" w:ascii="宋体" w:hAnsi="宋体" w:eastAsia="宋体"/>
          <w:sz w:val="24"/>
          <w:szCs w:val="24"/>
          <w:highlight w:val="none"/>
        </w:rPr>
        <w:t>乡（镇）慢型克山病年发病率低于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2‰</w:t>
      </w:r>
      <w:r>
        <w:rPr>
          <w:rFonts w:hint="eastAsia" w:ascii="宋体" w:hAnsi="宋体" w:eastAsia="宋体"/>
          <w:sz w:val="24"/>
          <w:szCs w:val="24"/>
          <w:highlight w:val="none"/>
        </w:rPr>
        <w:t>，可判定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病区乡（镇）</w:t>
      </w:r>
      <w:r>
        <w:rPr>
          <w:rFonts w:hint="eastAsia" w:ascii="宋体" w:hAnsi="宋体" w:eastAsia="宋体"/>
          <w:sz w:val="24"/>
          <w:szCs w:val="24"/>
          <w:highlight w:val="none"/>
        </w:rPr>
        <w:t>病情达到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控制标准，</w:t>
      </w:r>
      <w:r>
        <w:rPr>
          <w:rFonts w:hint="eastAsia" w:ascii="宋体" w:hAnsi="宋体" w:eastAsia="宋体"/>
          <w:sz w:val="24"/>
          <w:szCs w:val="24"/>
          <w:highlight w:val="none"/>
        </w:rPr>
        <w:t>乡（镇）慢型克山病年发病率低于5/万，可判定克山病病区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乡</w:t>
      </w:r>
      <w:r>
        <w:rPr>
          <w:rFonts w:hint="eastAsia" w:ascii="宋体" w:hAnsi="宋体" w:eastAsia="宋体"/>
          <w:sz w:val="24"/>
          <w:szCs w:val="24"/>
          <w:highlight w:val="none"/>
        </w:rPr>
        <w:t>的病情达到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消除</w:t>
      </w:r>
      <w:r>
        <w:rPr>
          <w:rFonts w:hint="eastAsia" w:ascii="宋体" w:hAnsi="宋体" w:eastAsia="宋体"/>
          <w:sz w:val="24"/>
          <w:szCs w:val="24"/>
          <w:highlight w:val="none"/>
        </w:rPr>
        <w:t>水平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/>
          <w:bCs w:val="0"/>
          <w:sz w:val="24"/>
          <w:szCs w:val="24"/>
          <w:highlight w:val="none"/>
          <w:lang w:val="en-US" w:eastAsia="zh-CN"/>
        </w:rPr>
        <w:t>2019年全国330个病区县2617个病区乡均达到克山病病区控制和消除标准，提前完成三年攻坚行动目标和“十三五”克山病防治规划目标。</w:t>
      </w:r>
      <w:r>
        <w:rPr>
          <w:rFonts w:hint="eastAsia" w:ascii="宋体" w:hAnsi="宋体" w:eastAsia="宋体"/>
          <w:bCs w:val="0"/>
          <w:sz w:val="24"/>
          <w:szCs w:val="24"/>
          <w:lang w:val="en-US" w:eastAsia="zh-CN"/>
        </w:rPr>
        <w:t>结果见表21</w:t>
      </w:r>
    </w:p>
    <w:tbl>
      <w:tblPr>
        <w:tblW w:w="7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056"/>
        <w:gridCol w:w="1056"/>
        <w:gridCol w:w="1056"/>
        <w:gridCol w:w="360"/>
        <w:gridCol w:w="1056"/>
        <w:gridCol w:w="1056"/>
        <w:gridCol w:w="1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53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表</w:t>
            </w:r>
            <w:r>
              <w:rPr>
                <w:rFonts w:hint="eastAsia" w:cs="Times New Roman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克山病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控制和消除达标情况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份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监测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县达标情况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监测</w:t>
            </w:r>
          </w:p>
        </w:tc>
        <w:tc>
          <w:tcPr>
            <w:tcW w:w="21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乡达标情况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县数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控制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消除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乡数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控制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河北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山西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内蒙古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辽宁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吉林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319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黑龙江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234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山东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185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河南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湖北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四川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854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854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贵州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西藏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云南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重庆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141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陕西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甘肃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249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249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330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330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330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2617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2617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2617</w:t>
            </w:r>
          </w:p>
        </w:tc>
      </w:tr>
    </w:tbl>
    <w:p>
      <w:pPr>
        <w:tabs>
          <w:tab w:val="left" w:pos="3060"/>
        </w:tabs>
        <w:adjustRightInd/>
        <w:snapToGrid/>
        <w:spacing w:beforeLines="0" w:line="360" w:lineRule="auto"/>
        <w:ind w:firstLine="480" w:firstLineChars="200"/>
        <w:rPr>
          <w:rFonts w:hint="eastAsia"/>
          <w:bCs/>
          <w:sz w:val="24"/>
        </w:rPr>
      </w:pPr>
      <w:r>
        <w:rPr>
          <w:rFonts w:hint="default"/>
          <w:bCs/>
          <w:sz w:val="24"/>
        </w:rPr>
        <w:t>3.结论</w:t>
      </w:r>
    </w:p>
    <w:p>
      <w:pPr>
        <w:tabs>
          <w:tab w:val="left" w:pos="3060"/>
        </w:tabs>
        <w:spacing w:beforeLines="0" w:line="360" w:lineRule="auto"/>
        <w:ind w:firstLine="480" w:firstLineChars="200"/>
        <w:rPr>
          <w:rFonts w:hint="default"/>
          <w:bCs/>
          <w:sz w:val="24"/>
          <w:highlight w:val="none"/>
        </w:rPr>
      </w:pPr>
      <w:r>
        <w:rPr>
          <w:rFonts w:hint="default"/>
          <w:b w:val="0"/>
          <w:bCs/>
          <w:sz w:val="24"/>
          <w:highlight w:val="none"/>
        </w:rPr>
        <w:t>（</w:t>
      </w:r>
      <w:r>
        <w:rPr>
          <w:rFonts w:hint="default"/>
          <w:b w:val="0"/>
          <w:bCs/>
          <w:sz w:val="24"/>
          <w:highlight w:val="none"/>
          <w:lang w:val="en-US" w:eastAsia="zh-CN"/>
        </w:rPr>
        <w:t>1</w:t>
      </w:r>
      <w:r>
        <w:rPr>
          <w:rFonts w:hint="default"/>
          <w:b w:val="0"/>
          <w:bCs/>
          <w:sz w:val="24"/>
          <w:highlight w:val="none"/>
        </w:rPr>
        <w:t>）</w:t>
      </w:r>
      <w:r>
        <w:rPr>
          <w:rFonts w:hint="default" w:cs="Times New Roman"/>
          <w:bCs/>
          <w:kern w:val="2"/>
          <w:sz w:val="24"/>
          <w:szCs w:val="24"/>
          <w:highlight w:val="none"/>
          <w:lang w:val="en-US" w:eastAsia="zh-CN"/>
        </w:rPr>
        <w:t>15个病区省份</w:t>
      </w:r>
      <w:r>
        <w:rPr>
          <w:rFonts w:hint="default"/>
          <w:bCs/>
          <w:sz w:val="24"/>
          <w:szCs w:val="24"/>
          <w:highlight w:val="none"/>
          <w:lang w:val="en-US" w:eastAsia="zh-CN"/>
        </w:rPr>
        <w:t>（除外西藏）</w:t>
      </w:r>
      <w:r>
        <w:rPr>
          <w:rFonts w:hint="eastAsia"/>
          <w:bCs/>
          <w:sz w:val="24"/>
          <w:szCs w:val="24"/>
          <w:highlight w:val="none"/>
          <w:lang w:val="en-US" w:eastAsia="zh-CN"/>
        </w:rPr>
        <w:t>共有</w:t>
      </w:r>
      <w:r>
        <w:rPr>
          <w:rFonts w:hint="default"/>
          <w:bCs/>
          <w:sz w:val="24"/>
          <w:szCs w:val="24"/>
          <w:highlight w:val="none"/>
          <w:lang w:eastAsia="zh-CN"/>
        </w:rPr>
        <w:t>克山病现患</w:t>
      </w:r>
      <w:r>
        <w:rPr>
          <w:rFonts w:hint="default"/>
          <w:bCs/>
          <w:sz w:val="24"/>
          <w:szCs w:val="24"/>
          <w:highlight w:val="none"/>
          <w:lang w:val="en-US" w:eastAsia="zh-CN"/>
        </w:rPr>
        <w:t>4836</w:t>
      </w:r>
      <w:r>
        <w:rPr>
          <w:rFonts w:hint="default"/>
          <w:bCs/>
          <w:sz w:val="24"/>
          <w:szCs w:val="24"/>
          <w:highlight w:val="none"/>
        </w:rPr>
        <w:t>例</w:t>
      </w:r>
      <w:r>
        <w:rPr>
          <w:rFonts w:hint="default"/>
          <w:bCs/>
          <w:sz w:val="24"/>
          <w:szCs w:val="24"/>
          <w:highlight w:val="none"/>
          <w:lang w:eastAsia="zh-CN"/>
        </w:rPr>
        <w:t>，患病率</w:t>
      </w:r>
      <w:r>
        <w:rPr>
          <w:rFonts w:hint="default"/>
          <w:bCs/>
          <w:sz w:val="24"/>
          <w:szCs w:val="24"/>
          <w:highlight w:val="none"/>
          <w:lang w:val="en-US" w:eastAsia="zh-CN"/>
        </w:rPr>
        <w:t>0.86</w:t>
      </w:r>
      <w:r>
        <w:rPr>
          <w:rFonts w:hint="default"/>
          <w:bCs/>
          <w:sz w:val="24"/>
          <w:szCs w:val="24"/>
          <w:highlight w:val="none"/>
        </w:rPr>
        <w:t>/万；其中慢型</w:t>
      </w:r>
      <w:r>
        <w:rPr>
          <w:rFonts w:hint="default"/>
          <w:bCs/>
          <w:sz w:val="24"/>
          <w:szCs w:val="24"/>
          <w:highlight w:val="none"/>
          <w:lang w:eastAsia="zh-CN"/>
        </w:rPr>
        <w:t>克山病</w:t>
      </w:r>
      <w:r>
        <w:rPr>
          <w:rFonts w:hint="default"/>
          <w:bCs/>
          <w:sz w:val="24"/>
          <w:szCs w:val="24"/>
          <w:highlight w:val="none"/>
          <w:lang w:val="en-US" w:eastAsia="zh-CN"/>
        </w:rPr>
        <w:t>2101</w:t>
      </w:r>
      <w:r>
        <w:rPr>
          <w:rFonts w:hint="default"/>
          <w:bCs/>
          <w:sz w:val="24"/>
          <w:szCs w:val="24"/>
          <w:highlight w:val="none"/>
        </w:rPr>
        <w:t>例，</w:t>
      </w:r>
      <w:r>
        <w:rPr>
          <w:rFonts w:hint="default"/>
          <w:bCs/>
          <w:sz w:val="24"/>
          <w:szCs w:val="24"/>
          <w:highlight w:val="none"/>
          <w:lang w:eastAsia="zh-CN"/>
        </w:rPr>
        <w:t>患病</w:t>
      </w:r>
      <w:r>
        <w:rPr>
          <w:rFonts w:hint="default"/>
          <w:bCs/>
          <w:sz w:val="24"/>
          <w:szCs w:val="24"/>
          <w:highlight w:val="none"/>
        </w:rPr>
        <w:t>率</w:t>
      </w:r>
      <w:r>
        <w:rPr>
          <w:rFonts w:hint="default"/>
          <w:bCs/>
          <w:sz w:val="24"/>
          <w:szCs w:val="24"/>
          <w:highlight w:val="none"/>
          <w:lang w:val="en-US" w:eastAsia="zh-CN"/>
        </w:rPr>
        <w:t>0.37</w:t>
      </w:r>
      <w:r>
        <w:rPr>
          <w:rFonts w:hint="default"/>
          <w:bCs/>
          <w:sz w:val="24"/>
          <w:szCs w:val="24"/>
          <w:highlight w:val="none"/>
        </w:rPr>
        <w:t>/万；潜在型</w:t>
      </w:r>
      <w:r>
        <w:rPr>
          <w:rFonts w:hint="default"/>
          <w:bCs/>
          <w:sz w:val="24"/>
          <w:szCs w:val="24"/>
          <w:highlight w:val="none"/>
          <w:lang w:eastAsia="zh-CN"/>
        </w:rPr>
        <w:t>克山病</w:t>
      </w:r>
      <w:r>
        <w:rPr>
          <w:rFonts w:hint="default"/>
          <w:bCs/>
          <w:sz w:val="24"/>
          <w:szCs w:val="24"/>
          <w:highlight w:val="none"/>
          <w:lang w:val="en-US" w:eastAsia="zh-CN"/>
        </w:rPr>
        <w:t>2735</w:t>
      </w:r>
      <w:r>
        <w:rPr>
          <w:rFonts w:hint="default"/>
          <w:bCs/>
          <w:sz w:val="24"/>
          <w:szCs w:val="24"/>
          <w:highlight w:val="none"/>
        </w:rPr>
        <w:t>例，</w:t>
      </w:r>
      <w:r>
        <w:rPr>
          <w:rFonts w:hint="default"/>
          <w:bCs/>
          <w:sz w:val="24"/>
          <w:szCs w:val="24"/>
          <w:highlight w:val="none"/>
          <w:lang w:eastAsia="zh-CN"/>
        </w:rPr>
        <w:t>患病</w:t>
      </w:r>
      <w:r>
        <w:rPr>
          <w:rFonts w:hint="default"/>
          <w:bCs/>
          <w:sz w:val="24"/>
          <w:szCs w:val="24"/>
          <w:highlight w:val="none"/>
        </w:rPr>
        <w:t>率</w:t>
      </w:r>
      <w:r>
        <w:rPr>
          <w:rFonts w:hint="default"/>
          <w:bCs/>
          <w:sz w:val="24"/>
          <w:szCs w:val="24"/>
          <w:highlight w:val="none"/>
          <w:lang w:val="en-US" w:eastAsia="zh-CN"/>
        </w:rPr>
        <w:t>0.49</w:t>
      </w:r>
      <w:r>
        <w:rPr>
          <w:rFonts w:hint="default"/>
          <w:bCs/>
          <w:sz w:val="24"/>
          <w:szCs w:val="24"/>
          <w:highlight w:val="none"/>
        </w:rPr>
        <w:t>/万。</w:t>
      </w:r>
    </w:p>
    <w:p>
      <w:pPr>
        <w:tabs>
          <w:tab w:val="left" w:pos="3060"/>
        </w:tabs>
        <w:spacing w:beforeLines="0" w:line="360" w:lineRule="auto"/>
        <w:ind w:firstLine="480" w:firstLineChars="200"/>
        <w:rPr>
          <w:rFonts w:hint="default"/>
          <w:bCs/>
          <w:sz w:val="24"/>
          <w:szCs w:val="24"/>
          <w:highlight w:val="none"/>
        </w:rPr>
      </w:pPr>
      <w:r>
        <w:rPr>
          <w:rFonts w:hint="default"/>
          <w:b w:val="0"/>
          <w:bCs/>
          <w:sz w:val="24"/>
          <w:highlight w:val="none"/>
        </w:rPr>
        <w:t>（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2</w:t>
      </w:r>
      <w:r>
        <w:rPr>
          <w:rFonts w:hint="default"/>
          <w:b w:val="0"/>
          <w:bCs/>
          <w:sz w:val="24"/>
          <w:highlight w:val="none"/>
        </w:rPr>
        <w:t>）</w:t>
      </w:r>
      <w:r>
        <w:rPr>
          <w:rFonts w:hint="default"/>
          <w:bCs/>
          <w:sz w:val="24"/>
          <w:szCs w:val="24"/>
          <w:highlight w:val="none"/>
          <w:lang w:val="en-US" w:eastAsia="zh-CN"/>
        </w:rPr>
        <w:t>全国330个病区县2617个病区乡已达到克山病病区消除水平。</w:t>
      </w:r>
    </w:p>
    <w:p>
      <w:pPr>
        <w:pStyle w:val="11"/>
        <w:spacing w:beforeLines="0" w:line="360" w:lineRule="auto"/>
        <w:ind w:firstLine="482"/>
        <w:rPr>
          <w:rFonts w:ascii="宋体" w:hAnsi="宋体" w:eastAsia="宋体"/>
          <w:b/>
          <w:color w:val="000000"/>
          <w:szCs w:val="24"/>
        </w:rPr>
      </w:pPr>
      <w:r>
        <w:rPr>
          <w:rFonts w:hint="eastAsia" w:ascii="宋体" w:hAnsi="宋体" w:eastAsia="宋体"/>
          <w:b/>
          <w:color w:val="000000"/>
          <w:szCs w:val="24"/>
        </w:rPr>
        <w:t>三、问题及建议</w:t>
      </w:r>
    </w:p>
    <w:p>
      <w:pPr>
        <w:tabs>
          <w:tab w:val="left" w:pos="3060"/>
        </w:tabs>
        <w:spacing w:beforeLines="0" w:line="360" w:lineRule="auto"/>
        <w:ind w:firstLine="482" w:firstLineChars="200"/>
        <w:rPr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一</w:t>
      </w:r>
      <w:r>
        <w:rPr>
          <w:rFonts w:hint="eastAsia"/>
          <w:b/>
          <w:bCs w:val="0"/>
          <w:sz w:val="24"/>
        </w:rPr>
        <w:t>）</w:t>
      </w:r>
      <w:r>
        <w:rPr>
          <w:rFonts w:hint="eastAsia"/>
          <w:b/>
          <w:bCs w:val="0"/>
          <w:sz w:val="24"/>
          <w:lang w:val="en-US" w:eastAsia="zh-CN"/>
        </w:rPr>
        <w:t>有些省份未按要求实现监测全覆盖</w:t>
      </w:r>
      <w:r>
        <w:rPr>
          <w:rFonts w:hint="eastAsia"/>
          <w:b/>
          <w:bCs w:val="0"/>
          <w:sz w:val="24"/>
        </w:rPr>
        <w:t>。</w:t>
      </w:r>
    </w:p>
    <w:p>
      <w:pPr>
        <w:tabs>
          <w:tab w:val="left" w:pos="3060"/>
        </w:tabs>
        <w:spacing w:beforeLines="0"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在项目工作实施中，有部分省份</w:t>
      </w:r>
      <w:r>
        <w:rPr>
          <w:rFonts w:hint="eastAsia"/>
          <w:bCs/>
          <w:sz w:val="24"/>
          <w:lang w:val="en-US" w:eastAsia="zh-CN"/>
        </w:rPr>
        <w:t>没有按照地方病三年攻坚行动监测评价全覆盖的要求，实现监测全覆盖，例如大骨节病和克山病均未实现以村或乡的监测全覆盖</w:t>
      </w:r>
      <w:r>
        <w:rPr>
          <w:bCs/>
          <w:sz w:val="24"/>
        </w:rPr>
        <w:t>。</w:t>
      </w:r>
      <w:r>
        <w:rPr>
          <w:rFonts w:hint="eastAsia"/>
          <w:bCs/>
          <w:sz w:val="24"/>
        </w:rPr>
        <w:t>建议各级卫生健康部门</w:t>
      </w:r>
      <w:r>
        <w:rPr>
          <w:rFonts w:hint="eastAsia"/>
          <w:bCs/>
          <w:sz w:val="24"/>
          <w:lang w:val="en-US" w:eastAsia="zh-CN"/>
        </w:rPr>
        <w:t>严格执行国家对地方病监测工作的各项要求</w:t>
      </w:r>
      <w:r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  <w:lang w:val="en-US" w:eastAsia="zh-CN"/>
        </w:rPr>
        <w:t>做好地方病监测工作</w:t>
      </w:r>
      <w:r>
        <w:rPr>
          <w:bCs/>
          <w:sz w:val="24"/>
        </w:rPr>
        <w:t>。</w:t>
      </w:r>
    </w:p>
    <w:p>
      <w:pPr>
        <w:tabs>
          <w:tab w:val="left" w:pos="3060"/>
        </w:tabs>
        <w:spacing w:beforeLines="0" w:line="360" w:lineRule="auto"/>
        <w:ind w:firstLine="482" w:firstLineChars="200"/>
        <w:rPr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二</w:t>
      </w:r>
      <w:r>
        <w:rPr>
          <w:rFonts w:hint="eastAsia"/>
          <w:b/>
          <w:bCs w:val="0"/>
          <w:sz w:val="24"/>
        </w:rPr>
        <w:t>）部分省份未按国家实施方案要求完成任务。</w:t>
      </w:r>
    </w:p>
    <w:p>
      <w:pPr>
        <w:tabs>
          <w:tab w:val="left" w:pos="3060"/>
        </w:tabs>
        <w:adjustRightInd/>
        <w:snapToGrid/>
        <w:spacing w:beforeLines="0" w:line="360" w:lineRule="auto"/>
        <w:ind w:firstLine="480" w:firstLineChars="2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一些省份在</w:t>
      </w:r>
      <w:r>
        <w:rPr>
          <w:rFonts w:hint="eastAsia"/>
          <w:bCs/>
          <w:sz w:val="24"/>
          <w:lang w:val="en-US" w:eastAsia="zh-CN"/>
        </w:rPr>
        <w:t>项目管理方面</w:t>
      </w:r>
      <w:r>
        <w:rPr>
          <w:rFonts w:hint="eastAsia"/>
          <w:bCs/>
          <w:sz w:val="24"/>
        </w:rPr>
        <w:t>还存在管理不严格的情况。有些省份</w:t>
      </w:r>
      <w:r>
        <w:rPr>
          <w:rFonts w:hint="eastAsia"/>
          <w:bCs/>
          <w:sz w:val="24"/>
          <w:lang w:val="en-US" w:eastAsia="zh-CN"/>
        </w:rPr>
        <w:t>项目相关</w:t>
      </w:r>
      <w:r>
        <w:rPr>
          <w:rFonts w:hint="eastAsia"/>
          <w:bCs/>
          <w:sz w:val="24"/>
        </w:rPr>
        <w:t>资料未提供或提供不全，上报数据核实不严，影响数据汇总及统计分析。建议</w:t>
      </w:r>
      <w:r>
        <w:rPr>
          <w:rFonts w:hint="eastAsia"/>
          <w:bCs/>
          <w:sz w:val="24"/>
          <w:lang w:val="en-US" w:eastAsia="zh-CN"/>
        </w:rPr>
        <w:t>各省份</w:t>
      </w:r>
      <w:r>
        <w:rPr>
          <w:rFonts w:hint="eastAsia"/>
          <w:bCs/>
          <w:sz w:val="24"/>
        </w:rPr>
        <w:t>加强防治工作的组织管理，</w:t>
      </w:r>
      <w:r>
        <w:rPr>
          <w:rFonts w:hint="eastAsia"/>
          <w:bCs/>
          <w:sz w:val="24"/>
          <w:lang w:val="en-US" w:eastAsia="zh-CN"/>
        </w:rPr>
        <w:t>对数据资料</w:t>
      </w:r>
      <w:r>
        <w:rPr>
          <w:rFonts w:hint="eastAsia"/>
          <w:bCs/>
          <w:sz w:val="24"/>
        </w:rPr>
        <w:t>严格把关，对有缺项或不合格的数据应及时采取补救措施，</w:t>
      </w:r>
      <w:r>
        <w:rPr>
          <w:rFonts w:hint="eastAsia"/>
          <w:bCs/>
          <w:sz w:val="24"/>
          <w:lang w:val="en-US" w:eastAsia="zh-CN"/>
        </w:rPr>
        <w:t>各项工作</w:t>
      </w:r>
      <w:r>
        <w:rPr>
          <w:rFonts w:hint="eastAsia"/>
          <w:bCs/>
          <w:sz w:val="24"/>
        </w:rPr>
        <w:t>要严格按</w:t>
      </w:r>
      <w:r>
        <w:rPr>
          <w:rFonts w:hint="eastAsia"/>
          <w:bCs/>
          <w:sz w:val="24"/>
          <w:lang w:val="en-US" w:eastAsia="zh-CN"/>
        </w:rPr>
        <w:t>照</w:t>
      </w:r>
      <w:r>
        <w:rPr>
          <w:rFonts w:hint="eastAsia"/>
          <w:bCs/>
          <w:sz w:val="24"/>
        </w:rPr>
        <w:t>国家</w:t>
      </w:r>
      <w:r>
        <w:rPr>
          <w:rFonts w:hint="eastAsia"/>
          <w:bCs/>
          <w:sz w:val="24"/>
          <w:lang w:val="en-US" w:eastAsia="zh-CN"/>
        </w:rPr>
        <w:t>的相关要求</w:t>
      </w:r>
      <w:r>
        <w:rPr>
          <w:rFonts w:hint="eastAsia"/>
          <w:bCs/>
          <w:sz w:val="24"/>
        </w:rPr>
        <w:t>执行，切实保证本省</w:t>
      </w:r>
      <w:r>
        <w:rPr>
          <w:rFonts w:hint="eastAsia"/>
          <w:bCs/>
          <w:sz w:val="24"/>
          <w:lang w:val="en-US" w:eastAsia="zh-CN"/>
        </w:rPr>
        <w:t>份</w:t>
      </w:r>
      <w:r>
        <w:rPr>
          <w:rFonts w:hint="eastAsia"/>
          <w:bCs/>
          <w:sz w:val="24"/>
        </w:rPr>
        <w:t>项目</w:t>
      </w:r>
      <w:r>
        <w:rPr>
          <w:rFonts w:hint="eastAsia"/>
          <w:bCs/>
          <w:sz w:val="24"/>
          <w:lang w:val="en-US" w:eastAsia="zh-CN"/>
        </w:rPr>
        <w:t>工作质量</w:t>
      </w:r>
      <w:r>
        <w:rPr>
          <w:rFonts w:hint="eastAsia"/>
          <w:bCs/>
          <w:sz w:val="24"/>
        </w:rPr>
        <w:t>。</w:t>
      </w:r>
    </w:p>
    <w:p>
      <w:pPr>
        <w:tabs>
          <w:tab w:val="left" w:pos="3060"/>
        </w:tabs>
        <w:spacing w:beforeLines="0" w:line="360" w:lineRule="auto"/>
        <w:ind w:firstLine="482" w:firstLineChars="200"/>
        <w:rPr>
          <w:rFonts w:hint="default" w:eastAsia="宋体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三</w:t>
      </w:r>
      <w:r>
        <w:rPr>
          <w:rFonts w:hint="eastAsia"/>
          <w:b/>
          <w:bCs w:val="0"/>
          <w:sz w:val="24"/>
        </w:rPr>
        <w:t>）</w:t>
      </w:r>
      <w:r>
        <w:rPr>
          <w:rFonts w:hint="eastAsia"/>
          <w:b/>
          <w:bCs w:val="0"/>
          <w:sz w:val="24"/>
          <w:lang w:val="en-US" w:eastAsia="zh-CN"/>
        </w:rPr>
        <w:t>基层防治力量较弱，工作压力较大。</w:t>
      </w:r>
    </w:p>
    <w:p>
      <w:pPr>
        <w:adjustRightInd w:val="0"/>
        <w:snapToGrid w:val="0"/>
        <w:spacing w:beforeLines="0" w:line="360" w:lineRule="auto"/>
        <w:ind w:firstLine="480" w:firstLineChars="200"/>
        <w:rPr>
          <w:sz w:val="24"/>
        </w:rPr>
      </w:pPr>
      <w:r>
        <w:rPr>
          <w:sz w:val="24"/>
        </w:rPr>
        <w:t>基层地方病</w:t>
      </w:r>
      <w:r>
        <w:rPr>
          <w:rFonts w:hint="eastAsia"/>
          <w:sz w:val="24"/>
          <w:lang w:val="en-US" w:eastAsia="zh-CN"/>
        </w:rPr>
        <w:t>防治</w:t>
      </w:r>
      <w:r>
        <w:rPr>
          <w:sz w:val="24"/>
        </w:rPr>
        <w:t>人员工作</w:t>
      </w:r>
      <w:r>
        <w:rPr>
          <w:rFonts w:hint="eastAsia"/>
          <w:sz w:val="24"/>
          <w:lang w:val="en-US" w:eastAsia="zh-CN"/>
        </w:rPr>
        <w:t>任务重</w:t>
      </w:r>
      <w:r>
        <w:rPr>
          <w:sz w:val="24"/>
        </w:rPr>
        <w:t>，通常一人多岗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且人员流动性大，</w:t>
      </w:r>
      <w:r>
        <w:rPr>
          <w:sz w:val="24"/>
        </w:rPr>
        <w:t>变动频繁，使防治工作的</w:t>
      </w:r>
      <w:r>
        <w:rPr>
          <w:rFonts w:hint="eastAsia"/>
          <w:sz w:val="24"/>
          <w:lang w:val="en-US" w:eastAsia="zh-CN"/>
        </w:rPr>
        <w:t>延续性和工作</w:t>
      </w:r>
      <w:r>
        <w:rPr>
          <w:sz w:val="24"/>
        </w:rPr>
        <w:t>质量受到较大影响。因此，建议</w:t>
      </w:r>
      <w:r>
        <w:rPr>
          <w:rFonts w:hint="eastAsia"/>
          <w:sz w:val="24"/>
          <w:lang w:val="en-US" w:eastAsia="zh-CN"/>
        </w:rPr>
        <w:t>各地积极争取增</w:t>
      </w:r>
      <w:r>
        <w:rPr>
          <w:sz w:val="24"/>
        </w:rPr>
        <w:t>加基层防治人员编制，改善工作待遇，加强专业人员</w:t>
      </w:r>
      <w:r>
        <w:rPr>
          <w:rFonts w:hint="eastAsia"/>
          <w:sz w:val="24"/>
          <w:lang w:val="en-US" w:eastAsia="zh-CN"/>
        </w:rPr>
        <w:t>技术</w:t>
      </w:r>
      <w:r>
        <w:rPr>
          <w:sz w:val="24"/>
        </w:rPr>
        <w:t>培训，确保项目工作的顺利开展，</w:t>
      </w:r>
      <w:r>
        <w:rPr>
          <w:rFonts w:hint="eastAsia"/>
          <w:sz w:val="24"/>
          <w:lang w:val="en-US" w:eastAsia="zh-CN"/>
        </w:rPr>
        <w:t>不断</w:t>
      </w:r>
      <w:r>
        <w:rPr>
          <w:sz w:val="24"/>
        </w:rPr>
        <w:t>推进</w:t>
      </w:r>
      <w:r>
        <w:rPr>
          <w:rFonts w:hint="eastAsia"/>
          <w:bCs/>
          <w:sz w:val="24"/>
        </w:rPr>
        <w:t>地方病</w:t>
      </w:r>
      <w:r>
        <w:rPr>
          <w:rFonts w:hint="eastAsia"/>
          <w:bCs/>
          <w:sz w:val="24"/>
          <w:lang w:val="en-US" w:eastAsia="zh-CN"/>
        </w:rPr>
        <w:t>防治</w:t>
      </w:r>
      <w:r>
        <w:rPr>
          <w:rFonts w:hint="eastAsia"/>
          <w:bCs/>
          <w:sz w:val="24"/>
        </w:rPr>
        <w:t>三年攻坚</w:t>
      </w:r>
      <w:r>
        <w:rPr>
          <w:rFonts w:hint="eastAsia"/>
          <w:bCs/>
          <w:sz w:val="24"/>
          <w:lang w:val="en-US" w:eastAsia="zh-CN"/>
        </w:rPr>
        <w:t>行动和健康中国行动各项工作的顺利完成</w:t>
      </w:r>
      <w:r>
        <w:rPr>
          <w:sz w:val="24"/>
        </w:rPr>
        <w:t xml:space="preserve">。 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paragraph" w:styleId="2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16"/>
      <w:szCs w:val="16"/>
    </w:rPr>
  </w:style>
  <w:style w:type="character" w:styleId="8">
    <w:name w:val="page number"/>
    <w:basedOn w:val="7"/>
    <w:qFormat/>
    <w:uiPriority w:val="0"/>
    <w:rPr/>
  </w:style>
  <w:style w:type="paragraph" w:customStyle="1" w:styleId="9">
    <w:name w:val="大标题"/>
    <w:basedOn w:val="1"/>
    <w:qFormat/>
    <w:uiPriority w:val="0"/>
    <w:pPr>
      <w:spacing w:line="560" w:lineRule="exact"/>
      <w:jc w:val="center"/>
    </w:pPr>
    <w:rPr>
      <w:rFonts w:ascii="黑体" w:eastAsia="黑体" w:cs="宋体"/>
      <w:sz w:val="36"/>
      <w:szCs w:val="20"/>
    </w:rPr>
  </w:style>
  <w:style w:type="paragraph" w:customStyle="1" w:styleId="10">
    <w:name w:val="正文小4宋"/>
    <w:basedOn w:val="1"/>
    <w:qFormat/>
    <w:uiPriority w:val="0"/>
    <w:pPr>
      <w:spacing w:line="440" w:lineRule="exact"/>
      <w:ind w:firstLine="200" w:firstLineChars="200"/>
    </w:pPr>
    <w:rPr>
      <w:rFonts w:cs="宋体"/>
      <w:sz w:val="24"/>
      <w:szCs w:val="20"/>
    </w:rPr>
  </w:style>
  <w:style w:type="paragraph" w:customStyle="1" w:styleId="11">
    <w:name w:val="小4黑左空2"/>
    <w:basedOn w:val="1"/>
    <w:qFormat/>
    <w:uiPriority w:val="0"/>
    <w:pPr>
      <w:spacing w:line="440" w:lineRule="exact"/>
      <w:ind w:firstLine="200" w:firstLineChars="200"/>
    </w:pPr>
    <w:rPr>
      <w:rFonts w:ascii="黑体" w:eastAsia="黑体"/>
      <w:sz w:val="24"/>
      <w:szCs w:val="28"/>
    </w:rPr>
  </w:style>
  <w:style w:type="paragraph" w:customStyle="1" w:styleId="12">
    <w:name w:val="样式 样式 仿宋_GB2312 + Times New Roman 首行缩进:  2 字符"/>
    <w:basedOn w:val="13"/>
    <w:qFormat/>
    <w:uiPriority w:val="0"/>
    <w:pPr>
      <w:ind w:firstLine="640"/>
    </w:pPr>
    <w:rPr>
      <w:rFonts w:ascii="Times New Roman" w:cs="宋体"/>
      <w:szCs w:val="20"/>
    </w:rPr>
  </w:style>
  <w:style w:type="paragraph" w:customStyle="1" w:styleId="13">
    <w:name w:val="样式 仿宋_GB2312"/>
    <w:basedOn w:val="1"/>
    <w:qFormat/>
    <w:uiPriority w:val="0"/>
    <w:pPr>
      <w:ind w:firstLine="200" w:firstLineChars="200"/>
    </w:pPr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2019-11-19T00:15:00Z</dcterms:created>
  <dc:creator>刘辉</dc:creator>
  <cp:lastModifiedBy>sj</cp:lastModifiedBy>
  <dcterms:modified xsi:type="dcterms:W3CDTF">2020-12-03T02:35:24Z</dcterms:modified>
  <dc:title>2019年度公共卫生服务地方病防治项目总结报告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