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41" w:rsidRDefault="00195041" w:rsidP="00195041">
      <w:pPr>
        <w:jc w:val="center"/>
        <w:rPr>
          <w:rFonts w:ascii="黑体" w:eastAsia="黑体" w:hAnsi="黑体" w:hint="eastAsia"/>
          <w:sz w:val="32"/>
          <w:szCs w:val="32"/>
        </w:rPr>
      </w:pPr>
      <w:r w:rsidRPr="004510F4">
        <w:rPr>
          <w:rFonts w:ascii="黑体" w:eastAsia="黑体" w:hAnsi="黑体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20</w:t>
      </w:r>
      <w:r w:rsidRPr="004510F4">
        <w:rPr>
          <w:rFonts w:ascii="黑体" w:eastAsia="黑体" w:hAnsi="黑体" w:hint="eastAsia"/>
          <w:sz w:val="32"/>
          <w:szCs w:val="32"/>
        </w:rPr>
        <w:t>年度全国燃煤污染型地方性氟中毒监测报告（摘要）</w:t>
      </w:r>
    </w:p>
    <w:p w:rsidR="00ED09AB" w:rsidRDefault="00ED09AB">
      <w:pPr>
        <w:rPr>
          <w:rFonts w:hint="eastAsia"/>
        </w:rPr>
      </w:pPr>
    </w:p>
    <w:p w:rsidR="00195041" w:rsidRDefault="00195041" w:rsidP="00195041">
      <w:pPr>
        <w:pStyle w:val="3"/>
        <w:adjustRightInd w:val="0"/>
        <w:snapToGrid w:val="0"/>
        <w:spacing w:after="0" w:line="360" w:lineRule="auto"/>
        <w:ind w:leftChars="0" w:left="0" w:firstLineChars="200" w:firstLine="480"/>
        <w:rPr>
          <w:rFonts w:hint="eastAsia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为全面落实《地方病防治专项三年攻坚行动方案（</w:t>
      </w:r>
      <w:r>
        <w:rPr>
          <w:rFonts w:hAnsi="宋体" w:hint="eastAsia"/>
          <w:bCs/>
          <w:sz w:val="24"/>
          <w:szCs w:val="24"/>
        </w:rPr>
        <w:t>2018</w:t>
      </w:r>
      <w:r>
        <w:rPr>
          <w:rFonts w:hAnsi="宋体" w:hint="eastAsia"/>
          <w:bCs/>
          <w:sz w:val="24"/>
          <w:szCs w:val="24"/>
        </w:rPr>
        <w:t>—</w:t>
      </w:r>
      <w:r>
        <w:rPr>
          <w:rFonts w:hAnsi="宋体" w:hint="eastAsia"/>
          <w:bCs/>
          <w:sz w:val="24"/>
          <w:szCs w:val="24"/>
        </w:rPr>
        <w:t>2020</w:t>
      </w:r>
      <w:r>
        <w:rPr>
          <w:rFonts w:hAnsi="宋体" w:hint="eastAsia"/>
          <w:bCs/>
          <w:sz w:val="24"/>
          <w:szCs w:val="24"/>
        </w:rPr>
        <w:t>年）》（国卫疾控发〔</w:t>
      </w:r>
      <w:r>
        <w:rPr>
          <w:rFonts w:hAnsi="宋体" w:hint="eastAsia"/>
          <w:bCs/>
          <w:sz w:val="24"/>
          <w:szCs w:val="24"/>
        </w:rPr>
        <w:t>2018</w:t>
      </w:r>
      <w:r>
        <w:rPr>
          <w:rFonts w:hAnsi="宋体" w:hint="eastAsia"/>
          <w:bCs/>
          <w:sz w:val="24"/>
          <w:szCs w:val="24"/>
        </w:rPr>
        <w:t>〕</w:t>
      </w:r>
      <w:r>
        <w:rPr>
          <w:rFonts w:hAnsi="宋体" w:hint="eastAsia"/>
          <w:bCs/>
          <w:sz w:val="24"/>
          <w:szCs w:val="24"/>
        </w:rPr>
        <w:t>47</w:t>
      </w:r>
      <w:r>
        <w:rPr>
          <w:rFonts w:hAnsi="宋体" w:hint="eastAsia"/>
          <w:bCs/>
          <w:sz w:val="24"/>
          <w:szCs w:val="24"/>
        </w:rPr>
        <w:t>号）疾病</w:t>
      </w:r>
      <w:proofErr w:type="gramStart"/>
      <w:r>
        <w:rPr>
          <w:rFonts w:hAnsi="宋体" w:hint="eastAsia"/>
          <w:bCs/>
          <w:sz w:val="24"/>
          <w:szCs w:val="24"/>
        </w:rPr>
        <w:t>监测全</w:t>
      </w:r>
      <w:proofErr w:type="gramEnd"/>
      <w:r>
        <w:rPr>
          <w:rFonts w:hAnsi="宋体" w:hint="eastAsia"/>
          <w:bCs/>
          <w:sz w:val="24"/>
          <w:szCs w:val="24"/>
        </w:rPr>
        <w:t>覆盖行动，按照国家印发燃煤污染型地方性氟中毒监测方案（</w:t>
      </w:r>
      <w:r>
        <w:rPr>
          <w:rFonts w:hAnsi="宋体" w:hint="eastAsia"/>
          <w:bCs/>
          <w:sz w:val="24"/>
          <w:szCs w:val="24"/>
        </w:rPr>
        <w:t>2019</w:t>
      </w:r>
      <w:r>
        <w:rPr>
          <w:rFonts w:hAnsi="宋体" w:hint="eastAsia"/>
          <w:bCs/>
          <w:sz w:val="24"/>
          <w:szCs w:val="24"/>
        </w:rPr>
        <w:t>年版）要求，</w:t>
      </w:r>
      <w:r>
        <w:rPr>
          <w:rFonts w:hAnsi="宋体"/>
          <w:bCs/>
          <w:sz w:val="24"/>
          <w:szCs w:val="24"/>
        </w:rPr>
        <w:t>全国</w:t>
      </w:r>
      <w:r>
        <w:rPr>
          <w:bCs/>
          <w:sz w:val="24"/>
          <w:szCs w:val="24"/>
        </w:rPr>
        <w:t>12</w:t>
      </w:r>
      <w:r>
        <w:rPr>
          <w:rFonts w:hAnsi="宋体"/>
          <w:bCs/>
          <w:sz w:val="24"/>
          <w:szCs w:val="24"/>
        </w:rPr>
        <w:t>个燃煤污染型地方性氟中毒病区省份</w:t>
      </w:r>
      <w:r>
        <w:rPr>
          <w:rFonts w:hAnsi="宋体" w:hint="eastAsia"/>
          <w:bCs/>
          <w:sz w:val="24"/>
          <w:szCs w:val="24"/>
        </w:rPr>
        <w:t>于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>
        <w:rPr>
          <w:rFonts w:hAnsi="宋体"/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rFonts w:hAnsi="宋体"/>
          <w:sz w:val="24"/>
          <w:szCs w:val="24"/>
        </w:rPr>
        <w:t>月至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20</w:t>
      </w:r>
      <w:r>
        <w:rPr>
          <w:rFonts w:hAnsi="宋体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Ansi="宋体"/>
          <w:sz w:val="24"/>
          <w:szCs w:val="24"/>
        </w:rPr>
        <w:t>月组织开展了</w:t>
      </w:r>
      <w:r>
        <w:rPr>
          <w:rFonts w:hAnsi="宋体" w:hint="eastAsia"/>
          <w:bCs/>
          <w:sz w:val="24"/>
          <w:szCs w:val="24"/>
        </w:rPr>
        <w:t>全覆盖监测工作，现将监测结果报告如下。</w:t>
      </w:r>
    </w:p>
    <w:p w:rsidR="00195041" w:rsidRDefault="00195041" w:rsidP="00195041">
      <w:pPr>
        <w:pStyle w:val="a5"/>
        <w:numPr>
          <w:ilvl w:val="0"/>
          <w:numId w:val="1"/>
        </w:numPr>
        <w:ind w:firstLineChars="0"/>
        <w:rPr>
          <w:rFonts w:hAnsi="宋体" w:hint="eastAsia"/>
          <w:b/>
          <w:sz w:val="24"/>
          <w:szCs w:val="24"/>
        </w:rPr>
      </w:pPr>
      <w:r w:rsidRPr="00195041">
        <w:rPr>
          <w:rFonts w:hAnsi="宋体" w:hint="eastAsia"/>
          <w:b/>
          <w:sz w:val="24"/>
          <w:szCs w:val="24"/>
        </w:rPr>
        <w:t>监测范围与内</w:t>
      </w:r>
      <w:r>
        <w:rPr>
          <w:rFonts w:hAnsi="宋体" w:hint="eastAsia"/>
          <w:b/>
          <w:sz w:val="24"/>
          <w:szCs w:val="24"/>
        </w:rPr>
        <w:t>容</w:t>
      </w:r>
    </w:p>
    <w:p w:rsidR="00195041" w:rsidRDefault="00195041" w:rsidP="00195041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范围包括山西、辽宁、江西、河南、湖北、湖南、重庆、广西、四川、贵州、云南和陕西</w:t>
      </w:r>
      <w:r>
        <w:rPr>
          <w:rFonts w:eastAsia="宋体" w:hAnsi="宋体" w:cs="Times New Roman" w:hint="eastAsia"/>
          <w:sz w:val="24"/>
          <w:szCs w:val="24"/>
        </w:rPr>
        <w:t>12</w:t>
      </w:r>
      <w:r>
        <w:rPr>
          <w:rFonts w:eastAsia="宋体" w:hAnsi="宋体" w:cs="Times New Roman" w:hint="eastAsia"/>
          <w:sz w:val="24"/>
          <w:szCs w:val="24"/>
        </w:rPr>
        <w:t>个省份的全部病区县（市、区，以下简称县）的全部病区村。调查县、乡（镇）、村名称及代码、县人口数、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常住户数、常住人口数等；</w:t>
      </w:r>
      <w:r w:rsidRPr="006227A8">
        <w:rPr>
          <w:rFonts w:eastAsia="宋体" w:hAnsi="宋体" w:cs="Times New Roman" w:hint="eastAsia"/>
          <w:sz w:val="24"/>
          <w:szCs w:val="24"/>
        </w:rPr>
        <w:t>调查监测点</w:t>
      </w:r>
      <w:r>
        <w:rPr>
          <w:rFonts w:eastAsia="宋体" w:hAnsi="宋体" w:cs="Times New Roman" w:hint="eastAsia"/>
          <w:sz w:val="24"/>
          <w:szCs w:val="24"/>
        </w:rPr>
        <w:t>降氟</w:t>
      </w:r>
      <w:r w:rsidRPr="006227A8">
        <w:rPr>
          <w:rFonts w:eastAsia="宋体" w:hAnsi="宋体" w:cs="Times New Roman" w:hint="eastAsia"/>
          <w:sz w:val="24"/>
          <w:szCs w:val="24"/>
        </w:rPr>
        <w:t>炉灶使用情况、相关健康生活行为形成情</w:t>
      </w:r>
      <w:r>
        <w:rPr>
          <w:rFonts w:eastAsia="宋体" w:hAnsi="宋体" w:cs="Times New Roman" w:hint="eastAsia"/>
          <w:sz w:val="24"/>
          <w:szCs w:val="24"/>
        </w:rPr>
        <w:t>况</w:t>
      </w:r>
      <w:r w:rsidRPr="006227A8">
        <w:rPr>
          <w:rFonts w:eastAsia="宋体" w:hAnsi="宋体" w:cs="Times New Roman" w:hint="eastAsia"/>
          <w:sz w:val="24"/>
          <w:szCs w:val="24"/>
        </w:rPr>
        <w:t>、</w:t>
      </w:r>
      <w:r w:rsidRPr="006227A8">
        <w:rPr>
          <w:rFonts w:eastAsia="宋体" w:cs="Times New Roman"/>
          <w:sz w:val="24"/>
          <w:szCs w:val="24"/>
        </w:rPr>
        <w:t>8</w:t>
      </w:r>
      <w:r w:rsidRPr="006227A8">
        <w:rPr>
          <w:rFonts w:eastAsia="宋体" w:hAnsi="宋体" w:cs="Times New Roman" w:hint="eastAsia"/>
          <w:sz w:val="24"/>
          <w:szCs w:val="24"/>
        </w:rPr>
        <w:t>周岁～</w:t>
      </w:r>
      <w:r w:rsidRPr="006227A8">
        <w:rPr>
          <w:rFonts w:eastAsia="宋体" w:cs="Times New Roman"/>
          <w:sz w:val="24"/>
          <w:szCs w:val="24"/>
        </w:rPr>
        <w:t>12</w:t>
      </w:r>
      <w:r w:rsidRPr="006227A8">
        <w:rPr>
          <w:rFonts w:eastAsia="宋体" w:hAnsi="宋体" w:cs="Times New Roman" w:hint="eastAsia"/>
          <w:sz w:val="24"/>
          <w:szCs w:val="24"/>
        </w:rPr>
        <w:t>周岁儿童氟斑牙病情及尿氟水平</w:t>
      </w:r>
      <w:r>
        <w:rPr>
          <w:rFonts w:eastAsia="宋体" w:hAnsi="宋体" w:cs="Times New Roman" w:hint="eastAsia"/>
          <w:sz w:val="24"/>
          <w:szCs w:val="24"/>
        </w:rPr>
        <w:t>，检查率不低于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。</w:t>
      </w:r>
    </w:p>
    <w:p w:rsidR="00195041" w:rsidRPr="000B2C70" w:rsidRDefault="00195041" w:rsidP="00195041">
      <w:pPr>
        <w:pStyle w:val="GB2312TimesNewRoman2"/>
        <w:spacing w:line="360" w:lineRule="auto"/>
        <w:ind w:firstLine="482"/>
        <w:rPr>
          <w:rFonts w:eastAsia="宋体" w:cs="Times New Roman"/>
          <w:b/>
          <w:sz w:val="24"/>
          <w:szCs w:val="24"/>
        </w:rPr>
      </w:pPr>
      <w:r w:rsidRPr="000B2C70">
        <w:rPr>
          <w:rFonts w:eastAsia="宋体" w:hAnsi="宋体" w:cs="Times New Roman"/>
          <w:b/>
          <w:sz w:val="24"/>
          <w:szCs w:val="24"/>
        </w:rPr>
        <w:t>二、监测结果</w:t>
      </w:r>
    </w:p>
    <w:p w:rsidR="00195041" w:rsidRDefault="00195041" w:rsidP="00195041">
      <w:pPr>
        <w:pStyle w:val="GB2312TimesNewRoman2"/>
        <w:spacing w:line="360" w:lineRule="auto"/>
        <w:ind w:firstLine="482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（一）监测村基本情况及入户调查结果</w:t>
      </w:r>
    </w:p>
    <w:p w:rsidR="00195041" w:rsidRDefault="00195041" w:rsidP="00195041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本年度在全国</w:t>
      </w:r>
      <w:r>
        <w:rPr>
          <w:rFonts w:eastAsia="宋体" w:hAnsi="宋体" w:cs="Times New Roman" w:hint="eastAsia"/>
          <w:sz w:val="24"/>
          <w:szCs w:val="24"/>
        </w:rPr>
        <w:t>12</w:t>
      </w:r>
      <w:r>
        <w:rPr>
          <w:rFonts w:eastAsia="宋体" w:hAnsi="宋体" w:cs="Times New Roman" w:hint="eastAsia"/>
          <w:sz w:val="24"/>
          <w:szCs w:val="24"/>
        </w:rPr>
        <w:t>个省份的</w:t>
      </w:r>
      <w:r>
        <w:rPr>
          <w:rFonts w:eastAsia="宋体" w:hAnsi="宋体" w:cs="Times New Roman" w:hint="eastAsia"/>
          <w:sz w:val="24"/>
          <w:szCs w:val="24"/>
        </w:rPr>
        <w:t>171</w:t>
      </w:r>
      <w:r>
        <w:rPr>
          <w:rFonts w:eastAsia="宋体" w:hAnsi="宋体" w:cs="Times New Roman" w:hint="eastAsia"/>
          <w:sz w:val="24"/>
          <w:szCs w:val="24"/>
        </w:rPr>
        <w:t>个县监测了</w:t>
      </w:r>
      <w:r>
        <w:rPr>
          <w:rFonts w:eastAsia="宋体" w:hAnsi="宋体" w:cs="Times New Roman" w:hint="eastAsia"/>
          <w:sz w:val="24"/>
          <w:szCs w:val="24"/>
        </w:rPr>
        <w:t>31792</w:t>
      </w:r>
      <w:r>
        <w:rPr>
          <w:rFonts w:eastAsia="宋体" w:hAnsi="宋体" w:cs="Times New Roman" w:hint="eastAsia"/>
          <w:sz w:val="24"/>
          <w:szCs w:val="24"/>
        </w:rPr>
        <w:t>个病区村，共有常住户数</w:t>
      </w:r>
      <w:r>
        <w:rPr>
          <w:rFonts w:eastAsia="宋体" w:hAnsi="宋体" w:cs="Times New Roman" w:hint="eastAsia"/>
          <w:sz w:val="24"/>
          <w:szCs w:val="24"/>
        </w:rPr>
        <w:t>916.62</w:t>
      </w:r>
      <w:r>
        <w:rPr>
          <w:rFonts w:eastAsia="宋体" w:hAnsi="宋体" w:cs="Times New Roman" w:hint="eastAsia"/>
          <w:sz w:val="24"/>
          <w:szCs w:val="24"/>
        </w:rPr>
        <w:t>万户，常住人口数</w:t>
      </w:r>
      <w:r>
        <w:rPr>
          <w:rFonts w:eastAsia="宋体" w:hAnsi="宋体" w:cs="Times New Roman" w:hint="eastAsia"/>
          <w:sz w:val="24"/>
          <w:szCs w:val="24"/>
        </w:rPr>
        <w:t>3290.55</w:t>
      </w:r>
      <w:r>
        <w:rPr>
          <w:rFonts w:eastAsia="宋体" w:hAnsi="宋体" w:cs="Times New Roman" w:hint="eastAsia"/>
          <w:sz w:val="24"/>
          <w:szCs w:val="24"/>
        </w:rPr>
        <w:t>万人。</w:t>
      </w:r>
      <w:r>
        <w:rPr>
          <w:rFonts w:eastAsia="宋体" w:hAnsi="宋体" w:cs="Times New Roman"/>
          <w:sz w:val="24"/>
          <w:szCs w:val="24"/>
        </w:rPr>
        <w:t>本年度在</w:t>
      </w:r>
      <w:r>
        <w:rPr>
          <w:rFonts w:eastAsia="宋体" w:hAnsi="宋体" w:cs="Times New Roman" w:hint="eastAsia"/>
          <w:sz w:val="24"/>
          <w:szCs w:val="24"/>
        </w:rPr>
        <w:t>31792</w:t>
      </w:r>
      <w:r>
        <w:rPr>
          <w:rFonts w:eastAsia="宋体" w:hAnsi="宋体" w:cs="Times New Roman" w:hint="eastAsia"/>
          <w:sz w:val="24"/>
          <w:szCs w:val="24"/>
        </w:rPr>
        <w:t>个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病区村</w:t>
      </w:r>
      <w:proofErr w:type="gramEnd"/>
      <w:r>
        <w:rPr>
          <w:rFonts w:eastAsia="宋体" w:hAnsi="宋体" w:cs="Times New Roman" w:hint="eastAsia"/>
          <w:sz w:val="24"/>
          <w:szCs w:val="24"/>
        </w:rPr>
        <w:t>共入户调查了</w:t>
      </w:r>
      <w:r>
        <w:rPr>
          <w:rFonts w:eastAsia="宋体" w:hAnsi="宋体" w:cs="Times New Roman" w:hint="eastAsia"/>
          <w:sz w:val="24"/>
          <w:szCs w:val="24"/>
        </w:rPr>
        <w:t>928376</w:t>
      </w:r>
      <w:r>
        <w:rPr>
          <w:rFonts w:eastAsia="宋体" w:hAnsi="宋体" w:cs="Times New Roman" w:hint="eastAsia"/>
          <w:sz w:val="24"/>
          <w:szCs w:val="24"/>
        </w:rPr>
        <w:t>户</w:t>
      </w:r>
      <w:r>
        <w:rPr>
          <w:rFonts w:eastAsia="宋体" w:hAnsi="宋体" w:cs="Times New Roman"/>
          <w:sz w:val="24"/>
          <w:szCs w:val="24"/>
        </w:rPr>
        <w:t>，其中使用</w:t>
      </w:r>
      <w:r>
        <w:rPr>
          <w:rFonts w:eastAsia="宋体" w:hAnsi="宋体" w:cs="Times New Roman" w:hint="eastAsia"/>
          <w:sz w:val="24"/>
          <w:szCs w:val="24"/>
        </w:rPr>
        <w:t>改良煤炉（灶）</w:t>
      </w:r>
      <w:r>
        <w:rPr>
          <w:rFonts w:eastAsia="宋体" w:cs="Times New Roman" w:hint="eastAsia"/>
          <w:sz w:val="24"/>
          <w:szCs w:val="24"/>
        </w:rPr>
        <w:t>700185</w:t>
      </w:r>
      <w:r>
        <w:rPr>
          <w:rFonts w:eastAsia="宋体" w:hAnsi="宋体" w:cs="Times New Roman"/>
          <w:sz w:val="24"/>
          <w:szCs w:val="24"/>
        </w:rPr>
        <w:t>户，占</w:t>
      </w:r>
      <w:r>
        <w:rPr>
          <w:rFonts w:eastAsia="宋体" w:cs="Times New Roman" w:hint="eastAsia"/>
          <w:sz w:val="24"/>
          <w:szCs w:val="24"/>
        </w:rPr>
        <w:t>75.42</w:t>
      </w:r>
      <w:r>
        <w:rPr>
          <w:rFonts w:eastAsia="宋体" w:hAnsi="宋体" w:cs="Times New Roman"/>
          <w:sz w:val="24"/>
          <w:szCs w:val="24"/>
        </w:rPr>
        <w:t>％；</w:t>
      </w:r>
      <w:r>
        <w:rPr>
          <w:rFonts w:eastAsia="宋体" w:hAnsi="宋体" w:cs="Times New Roman" w:hint="eastAsia"/>
          <w:sz w:val="24"/>
          <w:szCs w:val="24"/>
        </w:rPr>
        <w:t>使用电热器、电炊具等清洁能源灶具</w:t>
      </w:r>
      <w:r>
        <w:rPr>
          <w:rFonts w:eastAsia="宋体" w:cs="Times New Roman" w:hint="eastAsia"/>
          <w:sz w:val="24"/>
          <w:szCs w:val="24"/>
        </w:rPr>
        <w:t>878262</w:t>
      </w:r>
      <w:r>
        <w:rPr>
          <w:rFonts w:eastAsia="宋体" w:hAnsi="宋体" w:cs="Times New Roman"/>
          <w:sz w:val="24"/>
          <w:szCs w:val="24"/>
        </w:rPr>
        <w:t>户，占</w:t>
      </w:r>
      <w:r>
        <w:rPr>
          <w:rFonts w:eastAsia="宋体" w:cs="Times New Roman"/>
          <w:sz w:val="24"/>
          <w:szCs w:val="24"/>
        </w:rPr>
        <w:t>9</w:t>
      </w:r>
      <w:r>
        <w:rPr>
          <w:rFonts w:eastAsia="宋体" w:cs="Times New Roman" w:hint="eastAsia"/>
          <w:sz w:val="24"/>
          <w:szCs w:val="24"/>
        </w:rPr>
        <w:t>4.60</w:t>
      </w:r>
      <w:r>
        <w:rPr>
          <w:rFonts w:eastAsia="宋体" w:hAnsi="宋体" w:cs="Times New Roman"/>
          <w:sz w:val="24"/>
          <w:szCs w:val="24"/>
        </w:rPr>
        <w:t>％；</w:t>
      </w:r>
      <w:r>
        <w:rPr>
          <w:rFonts w:eastAsia="宋体" w:hAnsi="宋体" w:cs="Times New Roman" w:hint="eastAsia"/>
          <w:sz w:val="24"/>
          <w:szCs w:val="24"/>
        </w:rPr>
        <w:t>使用其他灶具</w:t>
      </w:r>
      <w:r>
        <w:rPr>
          <w:rFonts w:eastAsia="宋体" w:cs="Times New Roman" w:hint="eastAsia"/>
          <w:sz w:val="24"/>
          <w:szCs w:val="24"/>
        </w:rPr>
        <w:t>149177</w:t>
      </w:r>
      <w:r>
        <w:rPr>
          <w:rFonts w:eastAsia="宋体" w:hAnsi="宋体" w:cs="Times New Roman"/>
          <w:sz w:val="24"/>
          <w:szCs w:val="24"/>
        </w:rPr>
        <w:t>户，占</w:t>
      </w:r>
      <w:r>
        <w:rPr>
          <w:rFonts w:eastAsia="宋体" w:cs="Times New Roman"/>
          <w:sz w:val="24"/>
          <w:szCs w:val="24"/>
        </w:rPr>
        <w:t>16.</w:t>
      </w:r>
      <w:r>
        <w:rPr>
          <w:rFonts w:eastAsia="宋体" w:cs="Times New Roman" w:hint="eastAsia"/>
          <w:sz w:val="24"/>
          <w:szCs w:val="24"/>
        </w:rPr>
        <w:t>0</w:t>
      </w:r>
      <w:r>
        <w:rPr>
          <w:rFonts w:eastAsia="宋体" w:cs="Times New Roman"/>
          <w:sz w:val="24"/>
          <w:szCs w:val="24"/>
        </w:rPr>
        <w:t>7%</w:t>
      </w:r>
      <w:r>
        <w:rPr>
          <w:rFonts w:eastAsia="宋体" w:hAnsi="宋体" w:cs="Times New Roman"/>
          <w:sz w:val="24"/>
          <w:szCs w:val="24"/>
        </w:rPr>
        <w:t>；</w:t>
      </w:r>
      <w:r>
        <w:rPr>
          <w:rFonts w:eastAsia="宋体" w:hAnsi="宋体" w:cs="Times New Roman" w:hint="eastAsia"/>
          <w:sz w:val="24"/>
          <w:szCs w:val="24"/>
        </w:rPr>
        <w:t>使用</w:t>
      </w:r>
      <w:r>
        <w:rPr>
          <w:rFonts w:eastAsia="宋体" w:hAnsi="宋体" w:cs="Times New Roman"/>
          <w:sz w:val="24"/>
          <w:szCs w:val="24"/>
        </w:rPr>
        <w:t>敞</w:t>
      </w:r>
      <w:r>
        <w:rPr>
          <w:rFonts w:eastAsia="宋体" w:hAnsi="宋体" w:cs="Times New Roman" w:hint="eastAsia"/>
          <w:sz w:val="24"/>
          <w:szCs w:val="24"/>
        </w:rPr>
        <w:t>炉（灶）</w:t>
      </w:r>
      <w:r>
        <w:rPr>
          <w:rFonts w:eastAsia="宋体" w:cs="Times New Roman" w:hint="eastAsia"/>
          <w:sz w:val="24"/>
          <w:szCs w:val="24"/>
        </w:rPr>
        <w:t>5563</w:t>
      </w:r>
      <w:r>
        <w:rPr>
          <w:rFonts w:eastAsia="宋体" w:hAnsi="宋体" w:cs="Times New Roman"/>
          <w:sz w:val="24"/>
          <w:szCs w:val="24"/>
        </w:rPr>
        <w:t>户，占</w:t>
      </w:r>
      <w:r>
        <w:rPr>
          <w:rFonts w:eastAsia="宋体" w:cs="Times New Roman" w:hint="eastAsia"/>
          <w:sz w:val="24"/>
          <w:szCs w:val="24"/>
        </w:rPr>
        <w:t>0.60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hAnsi="宋体" w:cs="Times New Roman"/>
          <w:sz w:val="24"/>
          <w:szCs w:val="24"/>
        </w:rPr>
        <w:t>。</w:t>
      </w:r>
      <w:r>
        <w:rPr>
          <w:rFonts w:eastAsia="宋体" w:hAnsi="宋体" w:cs="Times New Roman" w:hint="eastAsia"/>
          <w:sz w:val="24"/>
          <w:szCs w:val="24"/>
        </w:rPr>
        <w:t>各省份中，改良煤炉（灶）的使用率差别较大，从</w:t>
      </w:r>
      <w:r>
        <w:rPr>
          <w:rFonts w:eastAsia="宋体" w:hAnsi="宋体" w:cs="Times New Roman" w:hint="eastAsia"/>
          <w:sz w:val="24"/>
          <w:szCs w:val="24"/>
        </w:rPr>
        <w:t>3.38%</w:t>
      </w:r>
      <w:r>
        <w:rPr>
          <w:rFonts w:eastAsia="宋体" w:hAnsi="宋体" w:cs="Times New Roman" w:hint="eastAsia"/>
          <w:sz w:val="24"/>
          <w:szCs w:val="24"/>
        </w:rPr>
        <w:t>到</w:t>
      </w:r>
      <w:r>
        <w:rPr>
          <w:rFonts w:eastAsia="宋体" w:hAnsi="宋体" w:cs="Times New Roman"/>
          <w:sz w:val="24"/>
          <w:szCs w:val="24"/>
        </w:rPr>
        <w:t>100%</w:t>
      </w:r>
      <w:r>
        <w:rPr>
          <w:rFonts w:eastAsia="宋体" w:hAnsi="宋体" w:cs="Times New Roman" w:hint="eastAsia"/>
          <w:sz w:val="24"/>
          <w:szCs w:val="24"/>
        </w:rPr>
        <w:t>不等；电热器、电炊具等清洁能源灶具的使用率相对较高，除陕西、山西和湖北分别为</w:t>
      </w:r>
      <w:r>
        <w:rPr>
          <w:rFonts w:eastAsia="宋体" w:hAnsi="宋体" w:cs="Times New Roman" w:hint="eastAsia"/>
          <w:sz w:val="24"/>
          <w:szCs w:val="24"/>
        </w:rPr>
        <w:t>72.60%</w:t>
      </w:r>
      <w:r>
        <w:rPr>
          <w:rFonts w:eastAsia="宋体" w:hAnsi="宋体" w:cs="Times New Roman" w:hint="eastAsia"/>
          <w:sz w:val="24"/>
          <w:szCs w:val="24"/>
        </w:rPr>
        <w:t>、</w:t>
      </w:r>
      <w:r>
        <w:rPr>
          <w:rFonts w:eastAsia="宋体" w:hAnsi="宋体" w:cs="Times New Roman" w:hint="eastAsia"/>
          <w:sz w:val="24"/>
          <w:szCs w:val="24"/>
        </w:rPr>
        <w:t>87.55%</w:t>
      </w:r>
      <w:r>
        <w:rPr>
          <w:rFonts w:eastAsia="宋体" w:hAnsi="宋体" w:cs="Times New Roman" w:hint="eastAsia"/>
          <w:sz w:val="24"/>
          <w:szCs w:val="24"/>
        </w:rPr>
        <w:t>和</w:t>
      </w:r>
      <w:r>
        <w:rPr>
          <w:rFonts w:eastAsia="宋体" w:hAnsi="宋体" w:cs="Times New Roman" w:hint="eastAsia"/>
          <w:sz w:val="24"/>
          <w:szCs w:val="24"/>
        </w:rPr>
        <w:t>89.06</w:t>
      </w:r>
      <w:r>
        <w:rPr>
          <w:rFonts w:eastAsia="宋体" w:hAnsi="宋体" w:cs="Times New Roman" w:hint="eastAsia"/>
          <w:sz w:val="24"/>
          <w:szCs w:val="24"/>
        </w:rPr>
        <w:t>外，其余省份均为</w:t>
      </w:r>
      <w:r>
        <w:rPr>
          <w:rFonts w:eastAsia="宋体" w:hAnsi="宋体" w:cs="Times New Roman" w:hint="eastAsia"/>
          <w:sz w:val="24"/>
          <w:szCs w:val="24"/>
        </w:rPr>
        <w:t>90%</w:t>
      </w:r>
      <w:r>
        <w:rPr>
          <w:rFonts w:eastAsia="宋体" w:hAnsi="宋体" w:cs="Times New Roman" w:hint="eastAsia"/>
          <w:sz w:val="24"/>
          <w:szCs w:val="24"/>
        </w:rPr>
        <w:t>以上；河南未见有使用其他灶具的，其他省份其他灶具使用率从</w:t>
      </w:r>
      <w:r>
        <w:rPr>
          <w:rFonts w:eastAsia="宋体" w:hAnsi="宋体" w:cs="Times New Roman" w:hint="eastAsia"/>
          <w:sz w:val="24"/>
          <w:szCs w:val="24"/>
        </w:rPr>
        <w:t>1.49%</w:t>
      </w:r>
      <w:r>
        <w:rPr>
          <w:rFonts w:eastAsia="宋体" w:hAnsi="宋体" w:cs="Times New Roman" w:hint="eastAsia"/>
          <w:sz w:val="24"/>
          <w:szCs w:val="24"/>
        </w:rPr>
        <w:t>到</w:t>
      </w:r>
      <w:r>
        <w:rPr>
          <w:rFonts w:eastAsia="宋体" w:hAnsi="宋体" w:cs="Times New Roman" w:hint="eastAsia"/>
          <w:sz w:val="24"/>
          <w:szCs w:val="24"/>
        </w:rPr>
        <w:t>50.49</w:t>
      </w:r>
      <w:r>
        <w:rPr>
          <w:rFonts w:eastAsia="宋体" w:hAnsi="宋体" w:cs="Times New Roman"/>
          <w:sz w:val="24"/>
          <w:szCs w:val="24"/>
        </w:rPr>
        <w:t>%</w:t>
      </w:r>
      <w:r>
        <w:rPr>
          <w:rFonts w:eastAsia="宋体" w:hAnsi="宋体" w:cs="Times New Roman" w:hint="eastAsia"/>
          <w:sz w:val="24"/>
          <w:szCs w:val="24"/>
        </w:rPr>
        <w:t>不等。</w:t>
      </w:r>
      <w:r>
        <w:rPr>
          <w:rFonts w:eastAsia="宋体" w:hAnsi="宋体" w:cs="Times New Roman"/>
          <w:sz w:val="24"/>
          <w:szCs w:val="24"/>
        </w:rPr>
        <w:t>各省份中，</w:t>
      </w:r>
      <w:r>
        <w:rPr>
          <w:rFonts w:eastAsia="宋体" w:hAnsi="宋体" w:cs="Times New Roman" w:hint="eastAsia"/>
          <w:sz w:val="24"/>
          <w:szCs w:val="24"/>
        </w:rPr>
        <w:t>广西、河南、辽宁、山西和重庆的调查户未见有使用</w:t>
      </w:r>
      <w:r>
        <w:rPr>
          <w:rFonts w:eastAsia="宋体" w:hAnsi="宋体" w:cs="Times New Roman"/>
          <w:sz w:val="24"/>
          <w:szCs w:val="24"/>
        </w:rPr>
        <w:t>敞</w:t>
      </w:r>
      <w:r>
        <w:rPr>
          <w:rFonts w:eastAsia="宋体" w:hAnsi="宋体" w:cs="Times New Roman" w:hint="eastAsia"/>
          <w:sz w:val="24"/>
          <w:szCs w:val="24"/>
        </w:rPr>
        <w:t>炉（灶）的；湖北和贵州</w:t>
      </w:r>
      <w:r>
        <w:rPr>
          <w:rFonts w:eastAsia="宋体" w:hAnsi="宋体" w:cs="Times New Roman"/>
          <w:sz w:val="24"/>
          <w:szCs w:val="24"/>
        </w:rPr>
        <w:t>敞</w:t>
      </w:r>
      <w:r>
        <w:rPr>
          <w:rFonts w:eastAsia="宋体" w:hAnsi="宋体" w:cs="Times New Roman" w:hint="eastAsia"/>
          <w:sz w:val="24"/>
          <w:szCs w:val="24"/>
        </w:rPr>
        <w:t>炉（灶）</w:t>
      </w:r>
      <w:r>
        <w:rPr>
          <w:rFonts w:eastAsia="宋体" w:hAnsi="宋体" w:cs="Times New Roman"/>
          <w:sz w:val="24"/>
          <w:szCs w:val="24"/>
        </w:rPr>
        <w:t>使用户数比例</w:t>
      </w:r>
      <w:r>
        <w:rPr>
          <w:rFonts w:eastAsia="宋体" w:hAnsi="宋体" w:cs="Times New Roman" w:hint="eastAsia"/>
          <w:sz w:val="24"/>
          <w:szCs w:val="24"/>
        </w:rPr>
        <w:t>较其他省份</w:t>
      </w:r>
      <w:r>
        <w:rPr>
          <w:rFonts w:eastAsia="宋体" w:hAnsi="宋体" w:cs="Times New Roman"/>
          <w:sz w:val="24"/>
          <w:szCs w:val="24"/>
        </w:rPr>
        <w:t>高，分别为</w:t>
      </w:r>
      <w:r>
        <w:rPr>
          <w:rFonts w:eastAsia="宋体" w:cs="Times New Roman" w:hint="eastAsia"/>
          <w:sz w:val="24"/>
          <w:szCs w:val="24"/>
        </w:rPr>
        <w:t>2.47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cs="Times New Roman"/>
          <w:sz w:val="24"/>
          <w:szCs w:val="24"/>
        </w:rPr>
        <w:t>和</w:t>
      </w:r>
      <w:r>
        <w:rPr>
          <w:rFonts w:eastAsia="宋体" w:cs="Times New Roman" w:hint="eastAsia"/>
          <w:sz w:val="24"/>
          <w:szCs w:val="24"/>
        </w:rPr>
        <w:t>1.78%</w:t>
      </w:r>
      <w:r>
        <w:rPr>
          <w:rFonts w:eastAsia="宋体" w:cs="Times New Roman" w:hint="eastAsia"/>
          <w:sz w:val="24"/>
          <w:szCs w:val="24"/>
        </w:rPr>
        <w:t>；其余省份</w:t>
      </w:r>
      <w:r>
        <w:rPr>
          <w:rFonts w:eastAsia="宋体" w:hAnsi="宋体" w:cs="Times New Roman"/>
          <w:sz w:val="24"/>
          <w:szCs w:val="24"/>
        </w:rPr>
        <w:t>敞</w:t>
      </w:r>
      <w:r>
        <w:rPr>
          <w:rFonts w:eastAsia="宋体" w:hAnsi="宋体" w:cs="Times New Roman" w:hint="eastAsia"/>
          <w:sz w:val="24"/>
          <w:szCs w:val="24"/>
        </w:rPr>
        <w:t>炉（灶）</w:t>
      </w:r>
      <w:r>
        <w:rPr>
          <w:rFonts w:eastAsia="宋体" w:cs="Times New Roman" w:hint="eastAsia"/>
          <w:sz w:val="24"/>
          <w:szCs w:val="24"/>
        </w:rPr>
        <w:t>使用率在</w:t>
      </w:r>
      <w:r>
        <w:rPr>
          <w:rFonts w:eastAsia="宋体" w:cs="Times New Roman" w:hint="eastAsia"/>
          <w:sz w:val="24"/>
          <w:szCs w:val="24"/>
        </w:rPr>
        <w:t>0.06%</w:t>
      </w:r>
      <w:r>
        <w:rPr>
          <w:rFonts w:eastAsia="宋体" w:hAnsi="宋体" w:cs="Times New Roman"/>
          <w:sz w:val="24"/>
          <w:szCs w:val="24"/>
        </w:rPr>
        <w:t>～</w:t>
      </w:r>
      <w:r>
        <w:rPr>
          <w:rFonts w:eastAsia="宋体" w:cs="Times New Roman" w:hint="eastAsia"/>
          <w:sz w:val="24"/>
          <w:szCs w:val="24"/>
        </w:rPr>
        <w:t>0.34%</w:t>
      </w:r>
      <w:r>
        <w:rPr>
          <w:rFonts w:eastAsia="宋体" w:cs="Times New Roman" w:hint="eastAsia"/>
          <w:sz w:val="24"/>
          <w:szCs w:val="24"/>
        </w:rPr>
        <w:t>之间。</w:t>
      </w:r>
      <w:r>
        <w:rPr>
          <w:rFonts w:eastAsia="宋体" w:hAnsi="宋体" w:cs="Times New Roman" w:hint="eastAsia"/>
          <w:sz w:val="24"/>
          <w:szCs w:val="24"/>
        </w:rPr>
        <w:t>全国调查的</w:t>
      </w:r>
      <w:r>
        <w:rPr>
          <w:rFonts w:eastAsia="宋体" w:hAnsi="宋体" w:cs="Times New Roman" w:hint="eastAsia"/>
          <w:sz w:val="24"/>
          <w:szCs w:val="24"/>
        </w:rPr>
        <w:t>928376</w:t>
      </w:r>
      <w:r>
        <w:rPr>
          <w:rFonts w:eastAsia="宋体" w:hAnsi="宋体" w:cs="Times New Roman" w:hint="eastAsia"/>
          <w:sz w:val="24"/>
          <w:szCs w:val="24"/>
        </w:rPr>
        <w:t>户中，改良煤炉（灶）、清洁能源和其他炉（灶）三者具备一项及一项以上的改良炉灶户为</w:t>
      </w:r>
      <w:r>
        <w:rPr>
          <w:rFonts w:eastAsia="宋体" w:hAnsi="宋体" w:cs="Times New Roman" w:hint="eastAsia"/>
          <w:sz w:val="24"/>
          <w:szCs w:val="24"/>
        </w:rPr>
        <w:t>927029</w:t>
      </w:r>
      <w:r>
        <w:rPr>
          <w:rFonts w:eastAsia="宋体" w:hAnsi="宋体" w:cs="Times New Roman" w:hint="eastAsia"/>
          <w:sz w:val="24"/>
          <w:szCs w:val="24"/>
        </w:rPr>
        <w:t>户，改良炉灶率为</w:t>
      </w:r>
      <w:r>
        <w:rPr>
          <w:rFonts w:eastAsia="宋体" w:hAnsi="宋体" w:cs="Times New Roman"/>
          <w:sz w:val="24"/>
          <w:szCs w:val="24"/>
        </w:rPr>
        <w:t>99.</w:t>
      </w:r>
      <w:r>
        <w:rPr>
          <w:rFonts w:eastAsia="宋体" w:hAnsi="宋体" w:cs="Times New Roman" w:hint="eastAsia"/>
          <w:sz w:val="24"/>
          <w:szCs w:val="24"/>
        </w:rPr>
        <w:t>85</w:t>
      </w:r>
      <w:r>
        <w:rPr>
          <w:rFonts w:eastAsia="宋体" w:hAnsi="宋体" w:cs="Times New Roman"/>
          <w:sz w:val="24"/>
          <w:szCs w:val="24"/>
        </w:rPr>
        <w:t>%</w:t>
      </w:r>
      <w:r>
        <w:rPr>
          <w:rFonts w:eastAsia="宋体" w:hAnsi="宋体" w:cs="Times New Roman"/>
          <w:sz w:val="24"/>
          <w:szCs w:val="24"/>
        </w:rPr>
        <w:t>；</w:t>
      </w:r>
      <w:r>
        <w:rPr>
          <w:rFonts w:eastAsia="宋体" w:hAnsi="宋体" w:cs="Times New Roman" w:hint="eastAsia"/>
          <w:sz w:val="24"/>
          <w:szCs w:val="24"/>
        </w:rPr>
        <w:t>合格改良炉灶户为</w:t>
      </w:r>
      <w:r>
        <w:rPr>
          <w:rFonts w:eastAsia="宋体" w:hAnsi="宋体" w:cs="Times New Roman" w:hint="eastAsia"/>
          <w:sz w:val="24"/>
          <w:szCs w:val="24"/>
        </w:rPr>
        <w:t>919922</w:t>
      </w:r>
      <w:r>
        <w:rPr>
          <w:rFonts w:eastAsia="宋体" w:hAnsi="宋体" w:cs="Times New Roman"/>
          <w:sz w:val="24"/>
          <w:szCs w:val="24"/>
        </w:rPr>
        <w:t>，</w:t>
      </w:r>
      <w:r>
        <w:rPr>
          <w:rFonts w:eastAsia="宋体" w:hAnsi="宋体" w:cs="Times New Roman" w:hint="eastAsia"/>
          <w:sz w:val="24"/>
          <w:szCs w:val="24"/>
        </w:rPr>
        <w:t>合格改良炉灶率为</w:t>
      </w:r>
      <w:r>
        <w:rPr>
          <w:rFonts w:eastAsia="宋体" w:hAnsi="宋体" w:cs="Times New Roman"/>
          <w:sz w:val="24"/>
          <w:szCs w:val="24"/>
        </w:rPr>
        <w:t>9</w:t>
      </w:r>
      <w:r>
        <w:rPr>
          <w:rFonts w:eastAsia="宋体" w:hAnsi="宋体" w:cs="Times New Roman" w:hint="eastAsia"/>
          <w:sz w:val="24"/>
          <w:szCs w:val="24"/>
        </w:rPr>
        <w:t>9.09</w:t>
      </w:r>
      <w:r>
        <w:rPr>
          <w:rFonts w:eastAsia="宋体" w:hAnsi="宋体" w:cs="Times New Roman"/>
          <w:sz w:val="24"/>
          <w:szCs w:val="24"/>
        </w:rPr>
        <w:t>%</w:t>
      </w:r>
      <w:r>
        <w:rPr>
          <w:rFonts w:eastAsia="宋体" w:hAnsi="宋体" w:cs="Times New Roman"/>
          <w:sz w:val="24"/>
          <w:szCs w:val="24"/>
        </w:rPr>
        <w:t>；</w:t>
      </w:r>
      <w:r>
        <w:rPr>
          <w:rFonts w:eastAsia="宋体" w:hAnsi="宋体" w:cs="Times New Roman" w:hint="eastAsia"/>
          <w:bCs/>
          <w:sz w:val="24"/>
          <w:szCs w:val="24"/>
        </w:rPr>
        <w:t>合格改良炉灶正确使用户数</w:t>
      </w:r>
      <w:r>
        <w:rPr>
          <w:rFonts w:eastAsia="宋体" w:hAnsi="宋体" w:cs="Times New Roman" w:hint="eastAsia"/>
          <w:bCs/>
          <w:sz w:val="24"/>
          <w:szCs w:val="24"/>
        </w:rPr>
        <w:t>919170</w:t>
      </w:r>
      <w:r>
        <w:rPr>
          <w:rFonts w:eastAsia="宋体" w:hAnsi="宋体" w:cs="Times New Roman" w:hint="eastAsia"/>
          <w:bCs/>
          <w:sz w:val="24"/>
          <w:szCs w:val="24"/>
        </w:rPr>
        <w:t>户，合格改良炉灶正确使用率</w:t>
      </w:r>
      <w:r>
        <w:rPr>
          <w:rFonts w:eastAsia="宋体" w:hAnsi="宋体" w:cs="Times New Roman" w:hint="eastAsia"/>
          <w:bCs/>
          <w:sz w:val="24"/>
          <w:szCs w:val="24"/>
        </w:rPr>
        <w:lastRenderedPageBreak/>
        <w:t>为</w:t>
      </w:r>
      <w:r>
        <w:rPr>
          <w:rFonts w:eastAsia="宋体" w:hAnsi="宋体" w:cs="Times New Roman"/>
          <w:bCs/>
          <w:sz w:val="24"/>
          <w:szCs w:val="24"/>
        </w:rPr>
        <w:t>99.</w:t>
      </w:r>
      <w:r>
        <w:rPr>
          <w:rFonts w:eastAsia="宋体" w:hAnsi="宋体" w:cs="Times New Roman" w:hint="eastAsia"/>
          <w:bCs/>
          <w:sz w:val="24"/>
          <w:szCs w:val="24"/>
        </w:rPr>
        <w:t>92%</w:t>
      </w:r>
      <w:r>
        <w:rPr>
          <w:rFonts w:eastAsia="宋体" w:hAnsi="宋体" w:cs="Times New Roman" w:hint="eastAsia"/>
          <w:bCs/>
          <w:sz w:val="24"/>
          <w:szCs w:val="24"/>
        </w:rPr>
        <w:t>。各省份</w:t>
      </w:r>
      <w:r>
        <w:rPr>
          <w:rFonts w:eastAsia="宋体" w:hAnsi="宋体" w:cs="Times New Roman" w:hint="eastAsia"/>
          <w:sz w:val="24"/>
          <w:szCs w:val="24"/>
        </w:rPr>
        <w:t>改良炉灶率和</w:t>
      </w:r>
      <w:r>
        <w:rPr>
          <w:rFonts w:eastAsia="宋体" w:hAnsi="宋体" w:cs="Times New Roman" w:hint="eastAsia"/>
          <w:bCs/>
          <w:sz w:val="24"/>
          <w:szCs w:val="24"/>
        </w:rPr>
        <w:t>合格改良炉灶正确使用率</w:t>
      </w:r>
      <w:r>
        <w:rPr>
          <w:rFonts w:eastAsia="宋体" w:hAnsi="宋体" w:cs="Times New Roman" w:hint="eastAsia"/>
          <w:sz w:val="24"/>
          <w:szCs w:val="24"/>
        </w:rPr>
        <w:t>均为</w:t>
      </w:r>
      <w:r>
        <w:rPr>
          <w:rFonts w:eastAsia="宋体" w:hAnsi="宋体" w:cs="Times New Roman" w:hint="eastAsia"/>
          <w:sz w:val="24"/>
          <w:szCs w:val="24"/>
        </w:rPr>
        <w:t>99%</w:t>
      </w:r>
      <w:r>
        <w:rPr>
          <w:rFonts w:eastAsia="宋体" w:hAnsi="宋体" w:cs="Times New Roman" w:hint="eastAsia"/>
          <w:sz w:val="24"/>
          <w:szCs w:val="24"/>
        </w:rPr>
        <w:t>以上，合格改良炉灶率均为</w:t>
      </w:r>
      <w:r>
        <w:rPr>
          <w:rFonts w:eastAsia="宋体" w:hAnsi="宋体" w:cs="Times New Roman" w:hint="eastAsia"/>
          <w:sz w:val="24"/>
          <w:szCs w:val="24"/>
        </w:rPr>
        <w:t>97%</w:t>
      </w:r>
      <w:r>
        <w:rPr>
          <w:rFonts w:eastAsia="宋体" w:hAnsi="宋体" w:cs="Times New Roman" w:hint="eastAsia"/>
          <w:sz w:val="24"/>
          <w:szCs w:val="24"/>
        </w:rPr>
        <w:t>以上。</w:t>
      </w:r>
    </w:p>
    <w:p w:rsidR="00195041" w:rsidRDefault="00195041" w:rsidP="00195041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bCs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全国调查的</w:t>
      </w:r>
      <w:r>
        <w:rPr>
          <w:rFonts w:eastAsia="宋体" w:hAnsi="宋体" w:cs="Times New Roman" w:hint="eastAsia"/>
          <w:sz w:val="24"/>
          <w:szCs w:val="24"/>
        </w:rPr>
        <w:t>928376</w:t>
      </w:r>
      <w:r>
        <w:rPr>
          <w:rFonts w:eastAsia="宋体" w:hAnsi="宋体" w:cs="Times New Roman" w:hint="eastAsia"/>
          <w:sz w:val="24"/>
          <w:szCs w:val="24"/>
        </w:rPr>
        <w:t>户中，</w:t>
      </w:r>
      <w:r>
        <w:rPr>
          <w:rFonts w:eastAsia="宋体" w:hAnsi="宋体" w:cs="Times New Roman"/>
          <w:sz w:val="24"/>
          <w:szCs w:val="24"/>
        </w:rPr>
        <w:t>正确干燥</w:t>
      </w:r>
      <w:r>
        <w:rPr>
          <w:rFonts w:eastAsia="宋体" w:hAnsi="宋体" w:cs="Times New Roman" w:hint="eastAsia"/>
          <w:sz w:val="24"/>
          <w:szCs w:val="24"/>
        </w:rPr>
        <w:t>食用</w:t>
      </w:r>
      <w:r>
        <w:rPr>
          <w:rFonts w:eastAsia="宋体" w:hAnsi="宋体" w:cs="Times New Roman"/>
          <w:sz w:val="24"/>
          <w:szCs w:val="24"/>
        </w:rPr>
        <w:t>玉米的有</w:t>
      </w:r>
      <w:r>
        <w:rPr>
          <w:rFonts w:eastAsia="宋体" w:hAnsi="宋体" w:cs="Times New Roman" w:hint="eastAsia"/>
          <w:bCs/>
          <w:sz w:val="24"/>
          <w:szCs w:val="24"/>
        </w:rPr>
        <w:t>923977</w:t>
      </w:r>
      <w:r>
        <w:rPr>
          <w:rFonts w:eastAsia="宋体" w:hAnsi="宋体" w:cs="Times New Roman"/>
          <w:bCs/>
          <w:sz w:val="24"/>
          <w:szCs w:val="24"/>
        </w:rPr>
        <w:t>户，正确干燥率为</w:t>
      </w:r>
      <w:r>
        <w:rPr>
          <w:rFonts w:eastAsia="宋体" w:hAnsi="宋体" w:cs="Times New Roman"/>
          <w:bCs/>
          <w:sz w:val="24"/>
          <w:szCs w:val="24"/>
        </w:rPr>
        <w:t>9</w:t>
      </w:r>
      <w:r>
        <w:rPr>
          <w:rFonts w:eastAsia="宋体" w:hAnsi="宋体" w:cs="Times New Roman" w:hint="eastAsia"/>
          <w:bCs/>
          <w:sz w:val="24"/>
          <w:szCs w:val="24"/>
        </w:rPr>
        <w:t>9.53</w:t>
      </w:r>
      <w:r>
        <w:rPr>
          <w:rFonts w:eastAsia="宋体" w:hAnsi="宋体" w:cs="Times New Roman"/>
          <w:bCs/>
          <w:sz w:val="24"/>
          <w:szCs w:val="24"/>
        </w:rPr>
        <w:t>%</w:t>
      </w:r>
      <w:r>
        <w:rPr>
          <w:rFonts w:eastAsia="宋体" w:hAnsi="宋体" w:cs="Times New Roman"/>
          <w:bCs/>
          <w:sz w:val="24"/>
          <w:szCs w:val="24"/>
        </w:rPr>
        <w:t>，正确保管</w:t>
      </w:r>
      <w:r>
        <w:rPr>
          <w:rFonts w:eastAsia="宋体" w:hAnsi="宋体" w:cs="Times New Roman" w:hint="eastAsia"/>
          <w:bCs/>
          <w:sz w:val="24"/>
          <w:szCs w:val="24"/>
        </w:rPr>
        <w:t>玉米</w:t>
      </w:r>
      <w:r>
        <w:rPr>
          <w:rFonts w:eastAsia="宋体" w:hAnsi="宋体" w:cs="Times New Roman"/>
          <w:bCs/>
          <w:sz w:val="24"/>
          <w:szCs w:val="24"/>
        </w:rPr>
        <w:t>的</w:t>
      </w:r>
      <w:r>
        <w:rPr>
          <w:rFonts w:eastAsia="宋体" w:hAnsi="宋体" w:cs="Times New Roman" w:hint="eastAsia"/>
          <w:bCs/>
          <w:sz w:val="24"/>
          <w:szCs w:val="24"/>
        </w:rPr>
        <w:t>有</w:t>
      </w:r>
      <w:r>
        <w:rPr>
          <w:rFonts w:eastAsia="宋体" w:hAnsi="宋体" w:cs="Times New Roman" w:hint="eastAsia"/>
          <w:bCs/>
          <w:sz w:val="24"/>
          <w:szCs w:val="24"/>
        </w:rPr>
        <w:t>921022</w:t>
      </w:r>
      <w:r>
        <w:rPr>
          <w:rFonts w:eastAsia="宋体" w:hAnsi="宋体" w:cs="Times New Roman"/>
          <w:bCs/>
          <w:sz w:val="24"/>
          <w:szCs w:val="24"/>
        </w:rPr>
        <w:t>户，正确保管率为</w:t>
      </w:r>
      <w:r>
        <w:rPr>
          <w:rFonts w:eastAsia="宋体" w:hAnsi="宋体" w:cs="Times New Roman" w:hint="eastAsia"/>
          <w:bCs/>
          <w:sz w:val="24"/>
          <w:szCs w:val="24"/>
        </w:rPr>
        <w:t>99.21</w:t>
      </w:r>
      <w:r>
        <w:rPr>
          <w:rFonts w:eastAsia="宋体" w:hAnsi="宋体" w:cs="Times New Roman"/>
          <w:bCs/>
          <w:sz w:val="24"/>
          <w:szCs w:val="24"/>
        </w:rPr>
        <w:t>%</w:t>
      </w:r>
      <w:r>
        <w:rPr>
          <w:rFonts w:eastAsia="宋体" w:hAnsi="宋体" w:cs="Times New Roman"/>
          <w:bCs/>
          <w:sz w:val="24"/>
          <w:szCs w:val="24"/>
        </w:rPr>
        <w:t>，</w:t>
      </w:r>
      <w:r>
        <w:rPr>
          <w:rFonts w:eastAsia="宋体" w:hAnsi="宋体" w:cs="Times New Roman"/>
          <w:sz w:val="24"/>
          <w:szCs w:val="24"/>
        </w:rPr>
        <w:t>加工前淘洗的有</w:t>
      </w:r>
      <w:r>
        <w:rPr>
          <w:rFonts w:eastAsia="宋体" w:hAnsi="宋体" w:cs="Times New Roman" w:hint="eastAsia"/>
          <w:bCs/>
          <w:sz w:val="24"/>
          <w:szCs w:val="24"/>
        </w:rPr>
        <w:t>917907</w:t>
      </w:r>
      <w:r>
        <w:rPr>
          <w:rFonts w:eastAsia="宋体" w:hAnsi="宋体" w:cs="Times New Roman"/>
          <w:bCs/>
          <w:sz w:val="24"/>
          <w:szCs w:val="24"/>
        </w:rPr>
        <w:t>户，</w:t>
      </w:r>
      <w:r>
        <w:rPr>
          <w:rFonts w:eastAsia="宋体" w:hAnsi="宋体" w:cs="Times New Roman"/>
          <w:sz w:val="24"/>
          <w:szCs w:val="24"/>
        </w:rPr>
        <w:t>加工前淘洗率为</w:t>
      </w:r>
      <w:r>
        <w:rPr>
          <w:rFonts w:eastAsia="宋体" w:hAnsi="宋体" w:cs="Times New Roman" w:hint="eastAsia"/>
          <w:bCs/>
          <w:sz w:val="24"/>
          <w:szCs w:val="24"/>
        </w:rPr>
        <w:t>98.87</w:t>
      </w:r>
      <w:r>
        <w:rPr>
          <w:rFonts w:eastAsia="宋体" w:hAnsi="宋体" w:cs="Times New Roman"/>
          <w:bCs/>
          <w:sz w:val="24"/>
          <w:szCs w:val="24"/>
        </w:rPr>
        <w:t>%</w:t>
      </w:r>
      <w:r>
        <w:rPr>
          <w:rFonts w:eastAsia="宋体" w:hAnsi="宋体" w:cs="Times New Roman"/>
          <w:bCs/>
          <w:sz w:val="24"/>
          <w:szCs w:val="24"/>
        </w:rPr>
        <w:t>。正确干燥辣椒的</w:t>
      </w:r>
      <w:r>
        <w:rPr>
          <w:rFonts w:eastAsia="宋体" w:hAnsi="宋体" w:cs="Times New Roman" w:hint="eastAsia"/>
          <w:bCs/>
          <w:sz w:val="24"/>
          <w:szCs w:val="24"/>
        </w:rPr>
        <w:t>有</w:t>
      </w:r>
      <w:r>
        <w:rPr>
          <w:rFonts w:eastAsia="宋体" w:hAnsi="宋体" w:cs="Times New Roman" w:hint="eastAsia"/>
          <w:bCs/>
          <w:sz w:val="24"/>
          <w:szCs w:val="24"/>
        </w:rPr>
        <w:t>924897</w:t>
      </w:r>
      <w:r>
        <w:rPr>
          <w:rFonts w:eastAsia="宋体" w:hAnsi="宋体" w:cs="Times New Roman"/>
          <w:bCs/>
          <w:sz w:val="24"/>
          <w:szCs w:val="24"/>
        </w:rPr>
        <w:t>户，正确干燥率为</w:t>
      </w:r>
      <w:r>
        <w:rPr>
          <w:rFonts w:eastAsia="宋体" w:hAnsi="宋体" w:cs="Times New Roman"/>
          <w:bCs/>
          <w:sz w:val="24"/>
          <w:szCs w:val="24"/>
        </w:rPr>
        <w:t>99.</w:t>
      </w:r>
      <w:r>
        <w:rPr>
          <w:rFonts w:eastAsia="宋体" w:hAnsi="宋体" w:cs="Times New Roman" w:hint="eastAsia"/>
          <w:bCs/>
          <w:sz w:val="24"/>
          <w:szCs w:val="24"/>
        </w:rPr>
        <w:t>63</w:t>
      </w:r>
      <w:r>
        <w:rPr>
          <w:rFonts w:eastAsia="宋体" w:hAnsi="宋体" w:cs="Times New Roman"/>
          <w:bCs/>
          <w:sz w:val="24"/>
          <w:szCs w:val="24"/>
        </w:rPr>
        <w:t>%</w:t>
      </w:r>
      <w:r>
        <w:rPr>
          <w:rFonts w:eastAsia="宋体" w:hAnsi="宋体" w:cs="Times New Roman"/>
          <w:bCs/>
          <w:sz w:val="24"/>
          <w:szCs w:val="24"/>
        </w:rPr>
        <w:t>，正确保管辣椒的</w:t>
      </w:r>
      <w:r>
        <w:rPr>
          <w:rFonts w:eastAsia="宋体" w:hAnsi="宋体" w:cs="Times New Roman" w:hint="eastAsia"/>
          <w:bCs/>
          <w:sz w:val="24"/>
          <w:szCs w:val="24"/>
        </w:rPr>
        <w:t>918572</w:t>
      </w:r>
      <w:r>
        <w:rPr>
          <w:rFonts w:eastAsia="宋体" w:hAnsi="宋体" w:cs="Times New Roman"/>
          <w:bCs/>
          <w:sz w:val="24"/>
          <w:szCs w:val="24"/>
        </w:rPr>
        <w:tab/>
      </w:r>
      <w:r>
        <w:rPr>
          <w:rFonts w:eastAsia="宋体" w:hAnsi="宋体" w:cs="Times New Roman"/>
          <w:bCs/>
          <w:sz w:val="24"/>
          <w:szCs w:val="24"/>
        </w:rPr>
        <w:t>户，正确保管率为</w:t>
      </w:r>
      <w:r>
        <w:rPr>
          <w:rFonts w:eastAsia="宋体" w:hAnsi="宋体" w:cs="Times New Roman" w:hint="eastAsia"/>
          <w:bCs/>
          <w:sz w:val="24"/>
          <w:szCs w:val="24"/>
        </w:rPr>
        <w:t>98.94</w:t>
      </w:r>
      <w:r>
        <w:rPr>
          <w:rFonts w:eastAsia="宋体" w:hAnsi="宋体" w:cs="Times New Roman"/>
          <w:bCs/>
          <w:sz w:val="24"/>
          <w:szCs w:val="24"/>
        </w:rPr>
        <w:t>%</w:t>
      </w:r>
      <w:r>
        <w:rPr>
          <w:rFonts w:eastAsia="宋体" w:hAnsi="宋体" w:cs="Times New Roman"/>
          <w:bCs/>
          <w:sz w:val="24"/>
          <w:szCs w:val="24"/>
        </w:rPr>
        <w:t>，</w:t>
      </w:r>
      <w:r>
        <w:rPr>
          <w:rFonts w:eastAsia="宋体" w:hAnsi="宋体" w:cs="Times New Roman"/>
          <w:sz w:val="24"/>
          <w:szCs w:val="24"/>
        </w:rPr>
        <w:t>加工前淘洗的有</w:t>
      </w:r>
      <w:r>
        <w:rPr>
          <w:rFonts w:eastAsia="宋体" w:hAnsi="宋体" w:cs="Times New Roman" w:hint="eastAsia"/>
          <w:bCs/>
          <w:sz w:val="24"/>
          <w:szCs w:val="24"/>
        </w:rPr>
        <w:t>911956</w:t>
      </w:r>
      <w:r>
        <w:rPr>
          <w:rFonts w:eastAsia="宋体" w:hAnsi="宋体" w:cs="Times New Roman"/>
          <w:bCs/>
          <w:sz w:val="24"/>
          <w:szCs w:val="24"/>
        </w:rPr>
        <w:t>户，</w:t>
      </w:r>
      <w:r>
        <w:rPr>
          <w:rFonts w:eastAsia="宋体" w:hAnsi="宋体" w:cs="Times New Roman"/>
          <w:sz w:val="24"/>
          <w:szCs w:val="24"/>
        </w:rPr>
        <w:t>加工前淘洗率为</w:t>
      </w:r>
      <w:r>
        <w:rPr>
          <w:rFonts w:eastAsia="宋体" w:hAnsi="宋体" w:cs="Times New Roman" w:hint="eastAsia"/>
          <w:bCs/>
          <w:sz w:val="24"/>
          <w:szCs w:val="24"/>
        </w:rPr>
        <w:t>98.23</w:t>
      </w:r>
      <w:r>
        <w:rPr>
          <w:rFonts w:eastAsia="宋体" w:hAnsi="宋体" w:cs="Times New Roman"/>
          <w:bCs/>
          <w:sz w:val="24"/>
          <w:szCs w:val="24"/>
        </w:rPr>
        <w:t>%</w:t>
      </w:r>
      <w:r>
        <w:rPr>
          <w:rFonts w:eastAsia="宋体" w:hAnsi="宋体" w:cs="Times New Roman"/>
          <w:bCs/>
          <w:sz w:val="24"/>
          <w:szCs w:val="24"/>
        </w:rPr>
        <w:t>。</w:t>
      </w:r>
      <w:r>
        <w:rPr>
          <w:rFonts w:eastAsia="宋体" w:hAnsi="宋体" w:cs="Times New Roman" w:hint="eastAsia"/>
          <w:bCs/>
          <w:sz w:val="24"/>
          <w:szCs w:val="24"/>
        </w:rPr>
        <w:t>各省份的玉米和辣椒的正确干燥率均达到了</w:t>
      </w:r>
      <w:r>
        <w:rPr>
          <w:rFonts w:eastAsia="宋体" w:hAnsi="宋体" w:cs="Times New Roman" w:hint="eastAsia"/>
          <w:bCs/>
          <w:sz w:val="24"/>
          <w:szCs w:val="24"/>
        </w:rPr>
        <w:t>95%</w:t>
      </w:r>
      <w:r>
        <w:rPr>
          <w:rFonts w:eastAsia="宋体" w:hAnsi="宋体" w:cs="Times New Roman" w:hint="eastAsia"/>
          <w:bCs/>
          <w:sz w:val="24"/>
          <w:szCs w:val="24"/>
        </w:rPr>
        <w:t>以上；各省份中，除湖北的玉米和辣椒正确保管率分别为</w:t>
      </w:r>
      <w:r>
        <w:rPr>
          <w:rFonts w:eastAsia="宋体" w:hAnsi="宋体" w:cs="Times New Roman" w:hint="eastAsia"/>
          <w:bCs/>
          <w:sz w:val="24"/>
          <w:szCs w:val="24"/>
        </w:rPr>
        <w:t>93.90%</w:t>
      </w:r>
      <w:r>
        <w:rPr>
          <w:rFonts w:eastAsia="宋体" w:hAnsi="宋体" w:cs="Times New Roman" w:hint="eastAsia"/>
          <w:bCs/>
          <w:sz w:val="24"/>
          <w:szCs w:val="24"/>
        </w:rPr>
        <w:t>和</w:t>
      </w:r>
      <w:r>
        <w:rPr>
          <w:rFonts w:eastAsia="宋体" w:hAnsi="宋体" w:cs="Times New Roman" w:hint="eastAsia"/>
          <w:bCs/>
          <w:sz w:val="24"/>
          <w:szCs w:val="24"/>
        </w:rPr>
        <w:t>92.50%</w:t>
      </w:r>
      <w:r>
        <w:rPr>
          <w:rFonts w:eastAsia="宋体" w:hAnsi="宋体" w:cs="Times New Roman" w:hint="eastAsia"/>
          <w:bCs/>
          <w:sz w:val="24"/>
          <w:szCs w:val="24"/>
        </w:rPr>
        <w:t>外，其余省份玉米和辣椒正确保管率均为</w:t>
      </w:r>
      <w:r>
        <w:rPr>
          <w:rFonts w:eastAsia="宋体" w:hAnsi="宋体" w:cs="Times New Roman" w:hint="eastAsia"/>
          <w:bCs/>
          <w:sz w:val="24"/>
          <w:szCs w:val="24"/>
        </w:rPr>
        <w:t>95%</w:t>
      </w:r>
      <w:r>
        <w:rPr>
          <w:rFonts w:eastAsia="宋体" w:hAnsi="宋体" w:cs="Times New Roman" w:hint="eastAsia"/>
          <w:bCs/>
          <w:sz w:val="24"/>
          <w:szCs w:val="24"/>
        </w:rPr>
        <w:t>以上；各省份中，除湖北的玉米和辣椒</w:t>
      </w:r>
      <w:r>
        <w:rPr>
          <w:rFonts w:eastAsia="宋体" w:hAnsi="宋体" w:cs="Times New Roman"/>
          <w:sz w:val="24"/>
          <w:szCs w:val="24"/>
        </w:rPr>
        <w:t>加工前淘洗率</w:t>
      </w:r>
      <w:r>
        <w:rPr>
          <w:rFonts w:eastAsia="宋体" w:hAnsi="宋体" w:cs="Times New Roman" w:hint="eastAsia"/>
          <w:sz w:val="24"/>
          <w:szCs w:val="24"/>
        </w:rPr>
        <w:t>分别为</w:t>
      </w:r>
      <w:r>
        <w:rPr>
          <w:rFonts w:eastAsia="宋体" w:hAnsi="宋体" w:cs="Times New Roman" w:hint="eastAsia"/>
          <w:sz w:val="24"/>
          <w:szCs w:val="24"/>
        </w:rPr>
        <w:t>92.22%</w:t>
      </w:r>
      <w:r>
        <w:rPr>
          <w:rFonts w:eastAsia="宋体" w:hAnsi="宋体" w:cs="Times New Roman" w:hint="eastAsia"/>
          <w:sz w:val="24"/>
          <w:szCs w:val="24"/>
        </w:rPr>
        <w:t>和</w:t>
      </w:r>
      <w:r>
        <w:rPr>
          <w:rFonts w:eastAsia="宋体" w:hAnsi="宋体" w:cs="Times New Roman" w:hint="eastAsia"/>
          <w:sz w:val="24"/>
          <w:szCs w:val="24"/>
        </w:rPr>
        <w:t>94.21%</w:t>
      </w:r>
      <w:r>
        <w:rPr>
          <w:rFonts w:eastAsia="宋体" w:hAnsi="宋体" w:cs="Times New Roman" w:hint="eastAsia"/>
          <w:sz w:val="24"/>
          <w:szCs w:val="24"/>
        </w:rPr>
        <w:t>外，</w:t>
      </w:r>
      <w:r>
        <w:rPr>
          <w:rFonts w:eastAsia="宋体" w:hAnsi="宋体" w:cs="Times New Roman" w:hint="eastAsia"/>
          <w:bCs/>
          <w:sz w:val="24"/>
          <w:szCs w:val="24"/>
        </w:rPr>
        <w:t>其余省份玉米和辣椒</w:t>
      </w:r>
      <w:r>
        <w:rPr>
          <w:rFonts w:eastAsia="宋体" w:hAnsi="宋体" w:cs="Times New Roman"/>
          <w:sz w:val="24"/>
          <w:szCs w:val="24"/>
        </w:rPr>
        <w:t>加工前淘洗</w:t>
      </w:r>
      <w:r>
        <w:rPr>
          <w:rFonts w:eastAsia="宋体" w:hAnsi="宋体" w:cs="Times New Roman" w:hint="eastAsia"/>
          <w:bCs/>
          <w:sz w:val="24"/>
          <w:szCs w:val="24"/>
        </w:rPr>
        <w:t>率均为</w:t>
      </w:r>
      <w:r>
        <w:rPr>
          <w:rFonts w:eastAsia="宋体" w:hAnsi="宋体" w:cs="Times New Roman" w:hint="eastAsia"/>
          <w:bCs/>
          <w:sz w:val="24"/>
          <w:szCs w:val="24"/>
        </w:rPr>
        <w:t>95%</w:t>
      </w:r>
      <w:r>
        <w:rPr>
          <w:rFonts w:eastAsia="宋体" w:hAnsi="宋体" w:cs="Times New Roman" w:hint="eastAsia"/>
          <w:bCs/>
          <w:sz w:val="24"/>
          <w:szCs w:val="24"/>
        </w:rPr>
        <w:t>以上。</w:t>
      </w:r>
    </w:p>
    <w:p w:rsidR="00195041" w:rsidRDefault="00195041" w:rsidP="00195041">
      <w:pPr>
        <w:pStyle w:val="GB2312TimesNewRoman2"/>
        <w:spacing w:line="360" w:lineRule="auto"/>
        <w:ind w:firstLine="482"/>
        <w:rPr>
          <w:rFonts w:eastAsia="宋体" w:cs="Times New Roman"/>
          <w:b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（</w:t>
      </w:r>
      <w:r>
        <w:rPr>
          <w:rFonts w:eastAsia="宋体" w:hAnsi="宋体" w:cs="Times New Roman" w:hint="eastAsia"/>
          <w:b/>
          <w:sz w:val="24"/>
          <w:szCs w:val="24"/>
        </w:rPr>
        <w:t>二</w:t>
      </w:r>
      <w:r>
        <w:rPr>
          <w:rFonts w:eastAsia="宋体" w:hAnsi="宋体" w:cs="Times New Roman"/>
          <w:b/>
          <w:sz w:val="24"/>
          <w:szCs w:val="24"/>
        </w:rPr>
        <w:t>）儿童氟斑牙</w:t>
      </w:r>
      <w:r>
        <w:rPr>
          <w:rFonts w:eastAsia="宋体" w:hAnsi="宋体" w:cs="Times New Roman" w:hint="eastAsia"/>
          <w:b/>
          <w:sz w:val="24"/>
          <w:szCs w:val="24"/>
        </w:rPr>
        <w:t>病情</w:t>
      </w:r>
    </w:p>
    <w:p w:rsidR="00195041" w:rsidRDefault="00195041" w:rsidP="00195041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本年度共</w:t>
      </w:r>
      <w:r>
        <w:rPr>
          <w:rFonts w:eastAsia="宋体" w:hAnsi="宋体" w:cs="Times New Roman"/>
          <w:sz w:val="24"/>
          <w:szCs w:val="24"/>
        </w:rPr>
        <w:t>检查</w:t>
      </w:r>
      <w:r>
        <w:rPr>
          <w:rFonts w:eastAsia="宋体" w:cs="Times New Roman"/>
          <w:sz w:val="24"/>
          <w:szCs w:val="24"/>
        </w:rPr>
        <w:t>8</w:t>
      </w:r>
      <w:r>
        <w:rPr>
          <w:rFonts w:eastAsia="宋体" w:hAnsi="宋体" w:cs="Times New Roman"/>
          <w:sz w:val="24"/>
          <w:szCs w:val="24"/>
        </w:rPr>
        <w:t>～</w:t>
      </w:r>
      <w:r>
        <w:rPr>
          <w:rFonts w:eastAsia="宋体" w:cs="Times New Roman"/>
          <w:sz w:val="24"/>
          <w:szCs w:val="24"/>
        </w:rPr>
        <w:t>12</w:t>
      </w:r>
      <w:r>
        <w:rPr>
          <w:rFonts w:eastAsia="宋体" w:hAnsi="宋体" w:cs="Times New Roman"/>
          <w:sz w:val="24"/>
          <w:szCs w:val="24"/>
        </w:rPr>
        <w:t>周岁儿童</w:t>
      </w:r>
      <w:r>
        <w:rPr>
          <w:rFonts w:eastAsia="宋体" w:hAnsi="宋体" w:cs="Times New Roman" w:hint="eastAsia"/>
          <w:sz w:val="24"/>
          <w:szCs w:val="24"/>
        </w:rPr>
        <w:t>1732641</w:t>
      </w:r>
      <w:r>
        <w:rPr>
          <w:rFonts w:eastAsia="宋体" w:hAnsi="宋体" w:cs="Times New Roman"/>
          <w:sz w:val="24"/>
          <w:szCs w:val="24"/>
        </w:rPr>
        <w:t>人，检出氟斑牙患者</w:t>
      </w:r>
      <w:r>
        <w:rPr>
          <w:rFonts w:eastAsia="宋体" w:cs="Times New Roman" w:hint="eastAsia"/>
          <w:sz w:val="24"/>
          <w:szCs w:val="24"/>
        </w:rPr>
        <w:t>54819</w:t>
      </w:r>
      <w:r>
        <w:rPr>
          <w:rFonts w:eastAsia="宋体" w:hAnsi="宋体" w:cs="Times New Roman"/>
          <w:sz w:val="24"/>
          <w:szCs w:val="24"/>
        </w:rPr>
        <w:t>例</w:t>
      </w:r>
      <w:r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/>
          <w:sz w:val="24"/>
          <w:szCs w:val="24"/>
        </w:rPr>
        <w:t>氟斑牙检出</w:t>
      </w:r>
      <w:r>
        <w:rPr>
          <w:rFonts w:eastAsia="宋体" w:hAnsi="宋体" w:cs="Times New Roman" w:hint="eastAsia"/>
          <w:sz w:val="24"/>
          <w:szCs w:val="24"/>
        </w:rPr>
        <w:t>率</w:t>
      </w:r>
      <w:r>
        <w:rPr>
          <w:rFonts w:eastAsia="宋体" w:hAnsi="宋体" w:cs="Times New Roman"/>
          <w:sz w:val="24"/>
          <w:szCs w:val="24"/>
        </w:rPr>
        <w:t>为</w:t>
      </w:r>
      <w:r>
        <w:rPr>
          <w:rFonts w:eastAsia="宋体" w:cs="Times New Roman" w:hint="eastAsia"/>
          <w:sz w:val="24"/>
          <w:szCs w:val="24"/>
        </w:rPr>
        <w:t>3.16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hAnsi="宋体" w:cs="Times New Roman"/>
          <w:sz w:val="24"/>
          <w:szCs w:val="24"/>
        </w:rPr>
        <w:t>，氟斑</w:t>
      </w:r>
      <w:proofErr w:type="gramStart"/>
      <w:r>
        <w:rPr>
          <w:rFonts w:eastAsia="宋体" w:hAnsi="宋体" w:cs="Times New Roman"/>
          <w:sz w:val="24"/>
          <w:szCs w:val="24"/>
        </w:rPr>
        <w:t>牙指数</w:t>
      </w:r>
      <w:proofErr w:type="gramEnd"/>
      <w:r>
        <w:rPr>
          <w:rFonts w:eastAsia="宋体" w:hAnsi="宋体" w:cs="Times New Roman"/>
          <w:sz w:val="24"/>
          <w:szCs w:val="24"/>
        </w:rPr>
        <w:t>为</w:t>
      </w:r>
      <w:r>
        <w:rPr>
          <w:rFonts w:eastAsia="宋体" w:cs="Times New Roman"/>
          <w:sz w:val="24"/>
          <w:szCs w:val="24"/>
        </w:rPr>
        <w:t>0.0</w:t>
      </w:r>
      <w:r>
        <w:rPr>
          <w:rFonts w:eastAsia="宋体" w:cs="Times New Roman" w:hint="eastAsia"/>
          <w:sz w:val="24"/>
          <w:szCs w:val="24"/>
        </w:rPr>
        <w:t>7</w:t>
      </w:r>
      <w:r>
        <w:rPr>
          <w:rFonts w:eastAsia="宋体" w:cs="Times New Roman"/>
          <w:sz w:val="24"/>
          <w:szCs w:val="24"/>
        </w:rPr>
        <w:t>，</w:t>
      </w:r>
      <w:r>
        <w:rPr>
          <w:rFonts w:eastAsia="宋体" w:cs="Times New Roman" w:hint="eastAsia"/>
          <w:sz w:val="24"/>
          <w:szCs w:val="24"/>
        </w:rPr>
        <w:t>氟斑牙流行程度已经呈</w:t>
      </w:r>
      <w:proofErr w:type="gramStart"/>
      <w:r>
        <w:rPr>
          <w:rFonts w:eastAsia="宋体" w:cs="Times New Roman" w:hint="eastAsia"/>
          <w:sz w:val="24"/>
          <w:szCs w:val="24"/>
        </w:rPr>
        <w:t>无流行</w:t>
      </w:r>
      <w:proofErr w:type="gramEnd"/>
      <w:r>
        <w:rPr>
          <w:rFonts w:eastAsia="宋体" w:cs="Times New Roman" w:hint="eastAsia"/>
          <w:sz w:val="24"/>
          <w:szCs w:val="24"/>
        </w:rPr>
        <w:t>状态</w:t>
      </w:r>
      <w:r>
        <w:rPr>
          <w:rFonts w:eastAsia="宋体" w:hAnsi="宋体" w:cs="Times New Roman"/>
          <w:sz w:val="24"/>
          <w:szCs w:val="24"/>
        </w:rPr>
        <w:t>。</w:t>
      </w:r>
      <w:r>
        <w:rPr>
          <w:rFonts w:eastAsia="宋体" w:hAnsi="宋体" w:cs="Times New Roman" w:hint="eastAsia"/>
          <w:sz w:val="24"/>
          <w:szCs w:val="24"/>
        </w:rPr>
        <w:t>其中，正常人数为</w:t>
      </w:r>
      <w:r>
        <w:rPr>
          <w:rFonts w:eastAsia="宋体" w:hAnsi="宋体" w:cs="Times New Roman" w:hint="eastAsia"/>
          <w:sz w:val="24"/>
          <w:szCs w:val="24"/>
        </w:rPr>
        <w:t>1631939</w:t>
      </w:r>
      <w:r>
        <w:rPr>
          <w:rFonts w:eastAsia="宋体" w:hAnsi="宋体" w:cs="Times New Roman" w:hint="eastAsia"/>
          <w:sz w:val="24"/>
          <w:szCs w:val="24"/>
        </w:rPr>
        <w:t>人，</w:t>
      </w:r>
      <w:r>
        <w:rPr>
          <w:rFonts w:eastAsia="宋体" w:hAnsi="宋体" w:cs="Times New Roman"/>
          <w:sz w:val="24"/>
          <w:szCs w:val="24"/>
        </w:rPr>
        <w:t>占全部受检儿童的</w:t>
      </w:r>
      <w:r>
        <w:rPr>
          <w:rFonts w:eastAsia="宋体" w:hAnsi="宋体" w:cs="Times New Roman" w:hint="eastAsia"/>
          <w:sz w:val="24"/>
          <w:szCs w:val="24"/>
        </w:rPr>
        <w:t>94.19%</w:t>
      </w:r>
      <w:r>
        <w:rPr>
          <w:rFonts w:eastAsia="宋体" w:hAnsi="宋体" w:cs="Times New Roman" w:hint="eastAsia"/>
          <w:sz w:val="24"/>
          <w:szCs w:val="24"/>
        </w:rPr>
        <w:t>；可疑病例</w:t>
      </w:r>
      <w:r>
        <w:rPr>
          <w:rFonts w:eastAsia="宋体" w:hAnsi="宋体" w:cs="Times New Roman" w:hint="eastAsia"/>
          <w:sz w:val="24"/>
          <w:szCs w:val="24"/>
        </w:rPr>
        <w:t>45883</w:t>
      </w:r>
      <w:r>
        <w:rPr>
          <w:rFonts w:eastAsia="宋体" w:hAnsi="宋体" w:cs="Times New Roman" w:hint="eastAsia"/>
          <w:sz w:val="24"/>
          <w:szCs w:val="24"/>
        </w:rPr>
        <w:t>例，占</w:t>
      </w:r>
      <w:r>
        <w:rPr>
          <w:rFonts w:eastAsia="宋体" w:hAnsi="宋体" w:cs="Times New Roman"/>
          <w:sz w:val="24"/>
          <w:szCs w:val="24"/>
        </w:rPr>
        <w:t>全部受检儿童的</w:t>
      </w:r>
      <w:r>
        <w:rPr>
          <w:rFonts w:eastAsia="宋体" w:hAnsi="宋体" w:cs="Times New Roman" w:hint="eastAsia"/>
          <w:sz w:val="24"/>
          <w:szCs w:val="24"/>
        </w:rPr>
        <w:t>2.65</w:t>
      </w:r>
      <w:r>
        <w:rPr>
          <w:rFonts w:eastAsia="宋体" w:hAnsi="宋体" w:cs="Times New Roman" w:hint="eastAsia"/>
          <w:sz w:val="24"/>
          <w:szCs w:val="24"/>
        </w:rPr>
        <w:t>％；极轻度</w:t>
      </w:r>
      <w:r>
        <w:rPr>
          <w:rFonts w:eastAsia="宋体" w:hAnsi="宋体" w:cs="Times New Roman" w:hint="eastAsia"/>
          <w:sz w:val="24"/>
          <w:szCs w:val="24"/>
        </w:rPr>
        <w:t>25811</w:t>
      </w:r>
      <w:r>
        <w:rPr>
          <w:rFonts w:eastAsia="宋体" w:hAnsi="宋体" w:cs="Times New Roman" w:hint="eastAsia"/>
          <w:sz w:val="24"/>
          <w:szCs w:val="24"/>
        </w:rPr>
        <w:t>例，占</w:t>
      </w:r>
      <w:r>
        <w:rPr>
          <w:rFonts w:eastAsia="宋体" w:hAnsi="宋体" w:cs="Times New Roman"/>
          <w:sz w:val="24"/>
          <w:szCs w:val="24"/>
        </w:rPr>
        <w:t>全部受检儿童的</w:t>
      </w:r>
      <w:r>
        <w:rPr>
          <w:rFonts w:eastAsia="宋体" w:hAnsi="宋体" w:cs="Times New Roman" w:hint="eastAsia"/>
          <w:sz w:val="24"/>
          <w:szCs w:val="24"/>
        </w:rPr>
        <w:t>1.49</w:t>
      </w:r>
      <w:r>
        <w:rPr>
          <w:rFonts w:eastAsia="宋体" w:hAnsi="宋体" w:cs="Times New Roman" w:hint="eastAsia"/>
          <w:sz w:val="24"/>
          <w:szCs w:val="24"/>
        </w:rPr>
        <w:t>％，</w:t>
      </w:r>
      <w:r>
        <w:rPr>
          <w:rFonts w:eastAsia="宋体" w:hAnsi="宋体" w:cs="Times New Roman"/>
          <w:sz w:val="24"/>
          <w:szCs w:val="24"/>
        </w:rPr>
        <w:t>占病例儿童的</w:t>
      </w:r>
      <w:r>
        <w:rPr>
          <w:rFonts w:eastAsia="宋体" w:hAnsi="宋体" w:cs="Times New Roman" w:hint="eastAsia"/>
          <w:sz w:val="24"/>
          <w:szCs w:val="24"/>
        </w:rPr>
        <w:t>47.08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hAnsi="宋体" w:cs="Times New Roman" w:hint="eastAsia"/>
          <w:sz w:val="24"/>
          <w:szCs w:val="24"/>
        </w:rPr>
        <w:t>；轻度</w:t>
      </w:r>
      <w:r>
        <w:rPr>
          <w:rFonts w:eastAsia="宋体" w:hAnsi="宋体" w:cs="Times New Roman" w:hint="eastAsia"/>
          <w:sz w:val="24"/>
          <w:szCs w:val="24"/>
        </w:rPr>
        <w:t>23483</w:t>
      </w:r>
      <w:r>
        <w:rPr>
          <w:rFonts w:eastAsia="宋体" w:hAnsi="宋体" w:cs="Times New Roman" w:hint="eastAsia"/>
          <w:sz w:val="24"/>
          <w:szCs w:val="24"/>
        </w:rPr>
        <w:t>例，占</w:t>
      </w:r>
      <w:r>
        <w:rPr>
          <w:rFonts w:eastAsia="宋体" w:hAnsi="宋体" w:cs="Times New Roman"/>
          <w:sz w:val="24"/>
          <w:szCs w:val="24"/>
        </w:rPr>
        <w:t>全部受检儿童的</w:t>
      </w:r>
      <w:r>
        <w:rPr>
          <w:rFonts w:eastAsia="宋体" w:hAnsi="宋体" w:cs="Times New Roman" w:hint="eastAsia"/>
          <w:sz w:val="24"/>
          <w:szCs w:val="24"/>
        </w:rPr>
        <w:t>1.36</w:t>
      </w:r>
      <w:r>
        <w:rPr>
          <w:rFonts w:eastAsia="宋体" w:hAnsi="宋体" w:cs="Times New Roman" w:hint="eastAsia"/>
          <w:sz w:val="24"/>
          <w:szCs w:val="24"/>
        </w:rPr>
        <w:t>％，</w:t>
      </w:r>
      <w:r>
        <w:rPr>
          <w:rFonts w:eastAsia="宋体" w:hAnsi="宋体" w:cs="Times New Roman"/>
          <w:sz w:val="24"/>
          <w:szCs w:val="24"/>
        </w:rPr>
        <w:t>占病例儿童的</w:t>
      </w:r>
      <w:r>
        <w:rPr>
          <w:rFonts w:eastAsia="宋体" w:hAnsi="宋体" w:cs="Times New Roman" w:hint="eastAsia"/>
          <w:sz w:val="24"/>
          <w:szCs w:val="24"/>
        </w:rPr>
        <w:t>42.84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hAnsi="宋体" w:cs="Times New Roman" w:hint="eastAsia"/>
          <w:sz w:val="24"/>
          <w:szCs w:val="24"/>
        </w:rPr>
        <w:t>；中度</w:t>
      </w:r>
      <w:r>
        <w:rPr>
          <w:rFonts w:eastAsia="宋体" w:hAnsi="宋体" w:cs="Times New Roman" w:hint="eastAsia"/>
          <w:sz w:val="24"/>
          <w:szCs w:val="24"/>
        </w:rPr>
        <w:t>4967</w:t>
      </w:r>
      <w:r>
        <w:rPr>
          <w:rFonts w:eastAsia="宋体" w:hAnsi="宋体" w:cs="Times New Roman" w:hint="eastAsia"/>
          <w:sz w:val="24"/>
          <w:szCs w:val="24"/>
        </w:rPr>
        <w:t>例，占</w:t>
      </w:r>
      <w:r>
        <w:rPr>
          <w:rFonts w:eastAsia="宋体" w:hAnsi="宋体" w:cs="Times New Roman"/>
          <w:sz w:val="24"/>
          <w:szCs w:val="24"/>
        </w:rPr>
        <w:t>全部受检儿童的</w:t>
      </w:r>
      <w:r>
        <w:rPr>
          <w:rFonts w:eastAsia="宋体" w:hAnsi="宋体" w:cs="Times New Roman" w:hint="eastAsia"/>
          <w:sz w:val="24"/>
          <w:szCs w:val="24"/>
        </w:rPr>
        <w:t>0.29</w:t>
      </w:r>
      <w:r>
        <w:rPr>
          <w:rFonts w:eastAsia="宋体" w:hAnsi="宋体" w:cs="Times New Roman" w:hint="eastAsia"/>
          <w:sz w:val="24"/>
          <w:szCs w:val="24"/>
        </w:rPr>
        <w:t>％，</w:t>
      </w:r>
      <w:r>
        <w:rPr>
          <w:rFonts w:eastAsia="宋体" w:hAnsi="宋体" w:cs="Times New Roman"/>
          <w:sz w:val="24"/>
          <w:szCs w:val="24"/>
        </w:rPr>
        <w:t>占病例儿童的</w:t>
      </w:r>
      <w:r>
        <w:rPr>
          <w:rFonts w:eastAsia="宋体" w:hAnsi="宋体" w:cs="Times New Roman" w:hint="eastAsia"/>
          <w:sz w:val="24"/>
          <w:szCs w:val="24"/>
        </w:rPr>
        <w:t>9.06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hAnsi="宋体" w:cs="Times New Roman" w:hint="eastAsia"/>
          <w:sz w:val="24"/>
          <w:szCs w:val="24"/>
        </w:rPr>
        <w:t>；重度</w:t>
      </w:r>
      <w:r>
        <w:rPr>
          <w:rFonts w:eastAsia="宋体" w:hAnsi="宋体" w:cs="Times New Roman" w:hint="eastAsia"/>
          <w:sz w:val="24"/>
          <w:szCs w:val="24"/>
        </w:rPr>
        <w:t>558</w:t>
      </w:r>
      <w:r>
        <w:rPr>
          <w:rFonts w:eastAsia="宋体" w:hAnsi="宋体" w:cs="Times New Roman" w:hint="eastAsia"/>
          <w:sz w:val="24"/>
          <w:szCs w:val="24"/>
        </w:rPr>
        <w:t>例，占</w:t>
      </w:r>
      <w:r>
        <w:rPr>
          <w:rFonts w:eastAsia="宋体" w:hAnsi="宋体" w:cs="Times New Roman"/>
          <w:sz w:val="24"/>
          <w:szCs w:val="24"/>
        </w:rPr>
        <w:t>全部受检儿童的</w:t>
      </w:r>
      <w:r>
        <w:rPr>
          <w:rFonts w:eastAsia="宋体" w:hAnsi="宋体" w:cs="Times New Roman" w:hint="eastAsia"/>
          <w:sz w:val="24"/>
          <w:szCs w:val="24"/>
        </w:rPr>
        <w:t>0.03</w:t>
      </w:r>
      <w:r>
        <w:rPr>
          <w:rFonts w:eastAsia="宋体" w:hAnsi="宋体" w:cs="Times New Roman" w:hint="eastAsia"/>
          <w:sz w:val="24"/>
          <w:szCs w:val="24"/>
        </w:rPr>
        <w:t>％，</w:t>
      </w:r>
      <w:r>
        <w:rPr>
          <w:rFonts w:eastAsia="宋体" w:hAnsi="宋体" w:cs="Times New Roman"/>
          <w:sz w:val="24"/>
          <w:szCs w:val="24"/>
        </w:rPr>
        <w:t>占病例儿童的</w:t>
      </w:r>
      <w:r>
        <w:rPr>
          <w:rFonts w:eastAsia="宋体" w:hAnsi="宋体" w:cs="Times New Roman"/>
          <w:sz w:val="24"/>
          <w:szCs w:val="24"/>
        </w:rPr>
        <w:t>1.</w:t>
      </w:r>
      <w:r>
        <w:rPr>
          <w:rFonts w:eastAsia="宋体" w:hAnsi="宋体" w:cs="Times New Roman" w:hint="eastAsia"/>
          <w:sz w:val="24"/>
          <w:szCs w:val="24"/>
        </w:rPr>
        <w:t>02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hAnsi="宋体" w:cs="Times New Roman" w:hint="eastAsia"/>
          <w:sz w:val="24"/>
          <w:szCs w:val="24"/>
        </w:rPr>
        <w:t>。</w:t>
      </w:r>
      <w:r>
        <w:rPr>
          <w:rFonts w:eastAsia="宋体" w:hAnsi="宋体" w:cs="Times New Roman"/>
          <w:sz w:val="24"/>
          <w:szCs w:val="24"/>
        </w:rPr>
        <w:t>各省份</w:t>
      </w:r>
      <w:r>
        <w:rPr>
          <w:rFonts w:eastAsia="宋体" w:hAnsi="宋体" w:cs="Times New Roman" w:hint="eastAsia"/>
          <w:sz w:val="24"/>
          <w:szCs w:val="24"/>
        </w:rPr>
        <w:t>儿童氟斑牙检出率均在</w:t>
      </w:r>
      <w:r>
        <w:rPr>
          <w:rFonts w:eastAsia="宋体" w:cs="Times New Roman" w:hint="eastAsia"/>
          <w:sz w:val="24"/>
          <w:szCs w:val="24"/>
        </w:rPr>
        <w:t>15</w:t>
      </w:r>
      <w:r>
        <w:rPr>
          <w:rFonts w:eastAsia="宋体" w:cs="Times New Roman"/>
          <w:sz w:val="24"/>
          <w:szCs w:val="24"/>
        </w:rPr>
        <w:t>%</w:t>
      </w:r>
      <w:r>
        <w:rPr>
          <w:rFonts w:eastAsia="宋体" w:hAnsi="宋体" w:cs="Times New Roman"/>
          <w:sz w:val="24"/>
          <w:szCs w:val="24"/>
        </w:rPr>
        <w:t>以下（</w:t>
      </w:r>
      <w:r>
        <w:rPr>
          <w:rFonts w:eastAsia="宋体" w:hAnsi="宋体" w:cs="Times New Roman"/>
          <w:sz w:val="24"/>
          <w:szCs w:val="24"/>
        </w:rPr>
        <w:t>0</w:t>
      </w:r>
      <w:r>
        <w:rPr>
          <w:rFonts w:eastAsia="宋体" w:hAnsi="宋体" w:cs="Times New Roman"/>
          <w:sz w:val="24"/>
          <w:szCs w:val="24"/>
        </w:rPr>
        <w:t>～</w:t>
      </w:r>
      <w:r>
        <w:rPr>
          <w:rFonts w:eastAsia="宋体" w:hAnsi="宋体" w:cs="Times New Roman" w:hint="eastAsia"/>
          <w:sz w:val="24"/>
          <w:szCs w:val="24"/>
        </w:rPr>
        <w:t>5.18</w:t>
      </w:r>
      <w:r>
        <w:rPr>
          <w:rFonts w:eastAsia="宋体" w:hAnsi="宋体" w:cs="Times New Roman"/>
          <w:sz w:val="24"/>
          <w:szCs w:val="24"/>
        </w:rPr>
        <w:t>%</w:t>
      </w:r>
      <w:r>
        <w:rPr>
          <w:rFonts w:eastAsia="宋体" w:hAnsi="宋体" w:cs="Times New Roman"/>
          <w:sz w:val="24"/>
          <w:szCs w:val="24"/>
        </w:rPr>
        <w:t>）。</w:t>
      </w:r>
    </w:p>
    <w:p w:rsidR="00195041" w:rsidRDefault="00195041" w:rsidP="00195041">
      <w:pPr>
        <w:pStyle w:val="GB2312TimesNewRoman2"/>
        <w:spacing w:line="360" w:lineRule="auto"/>
        <w:ind w:firstLine="482"/>
        <w:rPr>
          <w:rFonts w:eastAsia="宋体" w:hAnsi="宋体" w:cs="Times New Roman" w:hint="eastAsia"/>
          <w:b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（</w:t>
      </w:r>
      <w:r>
        <w:rPr>
          <w:rFonts w:eastAsia="宋体" w:hAnsi="宋体" w:cs="Times New Roman" w:hint="eastAsia"/>
          <w:b/>
          <w:sz w:val="24"/>
          <w:szCs w:val="24"/>
        </w:rPr>
        <w:t>三</w:t>
      </w:r>
      <w:r>
        <w:rPr>
          <w:rFonts w:eastAsia="宋体" w:hAnsi="宋体" w:cs="Times New Roman"/>
          <w:b/>
          <w:sz w:val="24"/>
          <w:szCs w:val="24"/>
        </w:rPr>
        <w:t>）</w:t>
      </w:r>
      <w:r>
        <w:rPr>
          <w:rFonts w:eastAsia="宋体" w:hAnsi="宋体" w:cs="Times New Roman" w:hint="eastAsia"/>
          <w:b/>
          <w:sz w:val="24"/>
          <w:szCs w:val="24"/>
        </w:rPr>
        <w:t>各</w:t>
      </w:r>
      <w:proofErr w:type="gramStart"/>
      <w:r>
        <w:rPr>
          <w:rFonts w:eastAsia="宋体" w:hAnsi="宋体" w:cs="Times New Roman" w:hint="eastAsia"/>
          <w:b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b/>
          <w:sz w:val="24"/>
          <w:szCs w:val="24"/>
        </w:rPr>
        <w:t>控制或消除达标情况</w:t>
      </w:r>
    </w:p>
    <w:p w:rsidR="00195041" w:rsidRDefault="00195041" w:rsidP="00195041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sz w:val="24"/>
          <w:szCs w:val="24"/>
        </w:rPr>
      </w:pPr>
      <w:r>
        <w:rPr>
          <w:rFonts w:eastAsia="宋体" w:hAnsi="宋体" w:cs="Times New Roman" w:hint="eastAsia"/>
          <w:sz w:val="24"/>
          <w:szCs w:val="24"/>
        </w:rPr>
        <w:t>全国调查的</w:t>
      </w:r>
      <w:r>
        <w:rPr>
          <w:rFonts w:eastAsia="宋体" w:hAnsi="宋体" w:cs="Times New Roman" w:hint="eastAsia"/>
          <w:sz w:val="24"/>
          <w:szCs w:val="24"/>
        </w:rPr>
        <w:t>171</w:t>
      </w:r>
      <w:r>
        <w:rPr>
          <w:rFonts w:eastAsia="宋体" w:hAnsi="宋体" w:cs="Times New Roman" w:hint="eastAsia"/>
          <w:sz w:val="24"/>
          <w:szCs w:val="24"/>
        </w:rPr>
        <w:t>个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sz w:val="24"/>
          <w:szCs w:val="24"/>
        </w:rPr>
        <w:t>全部达到控制和消除标准，其中有</w:t>
      </w:r>
      <w:r>
        <w:rPr>
          <w:rFonts w:eastAsia="宋体" w:hAnsi="宋体" w:cs="Times New Roman" w:hint="eastAsia"/>
          <w:sz w:val="24"/>
          <w:szCs w:val="24"/>
        </w:rPr>
        <w:t>158</w:t>
      </w:r>
      <w:r>
        <w:rPr>
          <w:rFonts w:eastAsia="宋体" w:hAnsi="宋体" w:cs="Times New Roman" w:hint="eastAsia"/>
          <w:sz w:val="24"/>
          <w:szCs w:val="24"/>
        </w:rPr>
        <w:t>个县达到了消除标准。</w:t>
      </w:r>
      <w:r>
        <w:rPr>
          <w:rFonts w:eastAsia="宋体" w:hAnsi="宋体" w:cs="Times New Roman" w:hint="eastAsia"/>
          <w:sz w:val="24"/>
          <w:szCs w:val="24"/>
        </w:rPr>
        <w:t>13</w:t>
      </w:r>
      <w:r>
        <w:rPr>
          <w:rFonts w:eastAsia="宋体" w:hAnsi="宋体" w:cs="Times New Roman" w:hint="eastAsia"/>
          <w:sz w:val="24"/>
          <w:szCs w:val="24"/>
        </w:rPr>
        <w:t>个达到控制标准的</w:t>
      </w:r>
      <w:proofErr w:type="gramStart"/>
      <w:r>
        <w:rPr>
          <w:rFonts w:eastAsia="宋体" w:hAnsi="宋体" w:cs="Times New Roman" w:hint="eastAsia"/>
          <w:sz w:val="24"/>
          <w:szCs w:val="24"/>
        </w:rPr>
        <w:t>病区县</w:t>
      </w:r>
      <w:proofErr w:type="gramEnd"/>
      <w:r>
        <w:rPr>
          <w:rFonts w:eastAsia="宋体" w:hAnsi="宋体" w:cs="Times New Roman" w:hint="eastAsia"/>
          <w:sz w:val="24"/>
          <w:szCs w:val="24"/>
        </w:rPr>
        <w:t>包括贵州的</w:t>
      </w:r>
      <w:r>
        <w:rPr>
          <w:rFonts w:eastAsia="宋体" w:hAnsi="宋体" w:cs="Times New Roman" w:hint="eastAsia"/>
          <w:sz w:val="24"/>
          <w:szCs w:val="24"/>
        </w:rPr>
        <w:t>8</w:t>
      </w:r>
      <w:r>
        <w:rPr>
          <w:rFonts w:eastAsia="宋体" w:hAnsi="宋体" w:cs="Times New Roman" w:hint="eastAsia"/>
          <w:sz w:val="24"/>
          <w:szCs w:val="24"/>
        </w:rPr>
        <w:t>个县（水城县、七星关区、纳雍县、赫章县、黔西县、金沙县、大方县、织金县），四川</w:t>
      </w:r>
      <w:r>
        <w:rPr>
          <w:rFonts w:eastAsia="宋体" w:hAnsi="宋体" w:cs="Times New Roman" w:hint="eastAsia"/>
          <w:sz w:val="24"/>
          <w:szCs w:val="24"/>
        </w:rPr>
        <w:t>2</w:t>
      </w:r>
      <w:r>
        <w:rPr>
          <w:rFonts w:eastAsia="宋体" w:hAnsi="宋体" w:cs="Times New Roman" w:hint="eastAsia"/>
          <w:sz w:val="24"/>
          <w:szCs w:val="24"/>
        </w:rPr>
        <w:t>个县（古蔺县和兴文县），湖南的新化县，云南省</w:t>
      </w:r>
      <w:r>
        <w:rPr>
          <w:rFonts w:eastAsia="宋体" w:hAnsi="宋体" w:cs="Times New Roman" w:hint="eastAsia"/>
          <w:sz w:val="24"/>
          <w:szCs w:val="24"/>
        </w:rPr>
        <w:t>2</w:t>
      </w:r>
      <w:r>
        <w:rPr>
          <w:rFonts w:eastAsia="宋体" w:hAnsi="宋体" w:cs="Times New Roman" w:hint="eastAsia"/>
          <w:sz w:val="24"/>
          <w:szCs w:val="24"/>
        </w:rPr>
        <w:t>个县（富源县和镇雄县），均为防治措施未达到消除标准。</w:t>
      </w:r>
    </w:p>
    <w:p w:rsidR="00195041" w:rsidRDefault="00195041" w:rsidP="00195041">
      <w:pPr>
        <w:pStyle w:val="GB2312TimesNewRoman2"/>
        <w:spacing w:line="360" w:lineRule="auto"/>
        <w:ind w:firstLine="482"/>
        <w:rPr>
          <w:rFonts w:eastAsia="宋体" w:cs="Times New Roman"/>
          <w:b/>
          <w:sz w:val="24"/>
          <w:szCs w:val="24"/>
        </w:rPr>
      </w:pPr>
      <w:r>
        <w:rPr>
          <w:rFonts w:eastAsia="宋体" w:hAnsi="宋体" w:cs="Times New Roman" w:hint="eastAsia"/>
          <w:b/>
          <w:sz w:val="24"/>
          <w:szCs w:val="24"/>
        </w:rPr>
        <w:t>三</w:t>
      </w:r>
      <w:r>
        <w:rPr>
          <w:rFonts w:eastAsia="宋体" w:hAnsi="宋体" w:cs="Times New Roman"/>
          <w:b/>
          <w:sz w:val="24"/>
          <w:szCs w:val="24"/>
        </w:rPr>
        <w:t>、存在的问题</w:t>
      </w:r>
    </w:p>
    <w:p w:rsidR="00195041" w:rsidRDefault="00195041" w:rsidP="00195041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sz w:val="24"/>
          <w:szCs w:val="24"/>
        </w:rPr>
      </w:pPr>
      <w:r>
        <w:rPr>
          <w:rFonts w:eastAsia="宋体" w:hAnsi="宋体" w:cs="Times New Roman"/>
          <w:b/>
          <w:sz w:val="24"/>
          <w:szCs w:val="24"/>
        </w:rPr>
        <w:t>（一）</w:t>
      </w:r>
      <w:r>
        <w:rPr>
          <w:rFonts w:eastAsia="宋体" w:hAnsi="宋体" w:cs="Times New Roman" w:hint="eastAsia"/>
          <w:b/>
          <w:sz w:val="24"/>
          <w:szCs w:val="24"/>
        </w:rPr>
        <w:t>各种类型炉灶使用方面</w:t>
      </w:r>
    </w:p>
    <w:p w:rsidR="00195041" w:rsidRDefault="00195041" w:rsidP="00195041">
      <w:pPr>
        <w:autoSpaceDE w:val="0"/>
        <w:autoSpaceDN w:val="0"/>
        <w:adjustRightInd w:val="0"/>
        <w:ind w:firstLineChars="194" w:firstLine="4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在仍然以燃煤作为主要生活能源的省份中，河南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辽宁和重庆地区的居民改</w:t>
      </w:r>
      <w:r>
        <w:rPr>
          <w:rFonts w:ascii="Times New Roman" w:hAnsi="Times New Roman" w:hint="eastAsia"/>
          <w:sz w:val="24"/>
          <w:szCs w:val="24"/>
        </w:rPr>
        <w:lastRenderedPageBreak/>
        <w:t>良煤炉（灶）的使用率达到</w:t>
      </w:r>
      <w:r>
        <w:rPr>
          <w:rFonts w:ascii="Times New Roman" w:hAnsi="Times New Roman" w:hint="eastAsia"/>
          <w:sz w:val="24"/>
          <w:szCs w:val="24"/>
        </w:rPr>
        <w:t>95%</w:t>
      </w:r>
      <w:r>
        <w:rPr>
          <w:rFonts w:ascii="Times New Roman" w:hAnsi="Times New Roman" w:hint="eastAsia"/>
          <w:sz w:val="24"/>
          <w:szCs w:val="24"/>
        </w:rPr>
        <w:t>以上甚至</w:t>
      </w:r>
      <w:r>
        <w:rPr>
          <w:rFonts w:ascii="Times New Roman" w:hAnsi="Times New Roman" w:hint="eastAsia"/>
          <w:sz w:val="24"/>
          <w:szCs w:val="24"/>
        </w:rPr>
        <w:t>100%</w:t>
      </w:r>
      <w:r>
        <w:rPr>
          <w:rFonts w:ascii="Times New Roman" w:hAnsi="Times New Roman" w:hint="eastAsia"/>
          <w:sz w:val="24"/>
          <w:szCs w:val="24"/>
        </w:rPr>
        <w:t>，并且已无使用敞炉（灶）烧煤的习惯；湖北和贵州改良煤炉和煤灶的使用率虽较高，分别为</w:t>
      </w:r>
      <w:r>
        <w:rPr>
          <w:rFonts w:ascii="Times New Roman" w:hAnsi="Times New Roman" w:hint="eastAsia"/>
          <w:sz w:val="24"/>
          <w:szCs w:val="24"/>
        </w:rPr>
        <w:t>90.67%</w:t>
      </w:r>
      <w:r>
        <w:rPr>
          <w:rFonts w:ascii="Times New Roman" w:hAnsi="Times New Roman" w:hint="eastAsia"/>
          <w:sz w:val="24"/>
          <w:szCs w:val="24"/>
        </w:rPr>
        <w:t>和</w:t>
      </w:r>
      <w:r>
        <w:rPr>
          <w:rFonts w:ascii="Times New Roman" w:hAnsi="Times New Roman" w:hint="eastAsia"/>
          <w:sz w:val="24"/>
          <w:szCs w:val="24"/>
        </w:rPr>
        <w:t>92.64%</w:t>
      </w:r>
      <w:r>
        <w:rPr>
          <w:rFonts w:ascii="Times New Roman" w:hAnsi="Times New Roman" w:hint="eastAsia"/>
          <w:sz w:val="24"/>
          <w:szCs w:val="24"/>
        </w:rPr>
        <w:t>，但敞炉和</w:t>
      </w:r>
      <w:proofErr w:type="gramStart"/>
      <w:r>
        <w:rPr>
          <w:rFonts w:ascii="Times New Roman" w:hAnsi="Times New Roman" w:hint="eastAsia"/>
          <w:sz w:val="24"/>
          <w:szCs w:val="24"/>
        </w:rPr>
        <w:t>敞灶</w:t>
      </w:r>
      <w:proofErr w:type="gramEnd"/>
      <w:r>
        <w:rPr>
          <w:rFonts w:ascii="Times New Roman" w:hAnsi="Times New Roman" w:hint="eastAsia"/>
          <w:sz w:val="24"/>
          <w:szCs w:val="24"/>
        </w:rPr>
        <w:t>使用率也相对高于其他省份，分别为</w:t>
      </w:r>
      <w:r>
        <w:rPr>
          <w:rFonts w:ascii="Times New Roman" w:hAnsi="Times New Roman" w:hint="eastAsia"/>
          <w:sz w:val="24"/>
          <w:szCs w:val="24"/>
        </w:rPr>
        <w:t>2.47%</w:t>
      </w:r>
      <w:r>
        <w:rPr>
          <w:rFonts w:ascii="Times New Roman" w:hAnsi="Times New Roman" w:hint="eastAsia"/>
          <w:sz w:val="24"/>
          <w:szCs w:val="24"/>
        </w:rPr>
        <w:t>和</w:t>
      </w:r>
      <w:r>
        <w:rPr>
          <w:rFonts w:ascii="Times New Roman" w:hAnsi="Times New Roman" w:hint="eastAsia"/>
          <w:sz w:val="24"/>
          <w:szCs w:val="24"/>
        </w:rPr>
        <w:t>1.78%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195041" w:rsidRDefault="00195041" w:rsidP="00195041">
      <w:pPr>
        <w:pStyle w:val="3"/>
        <w:spacing w:after="0" w:line="360" w:lineRule="auto"/>
        <w:ind w:leftChars="0" w:left="0" w:firstLineChars="200" w:firstLine="482"/>
        <w:rPr>
          <w:rFonts w:hAnsi="宋体" w:hint="eastAsia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（二）食用玉米和辣椒的相关生活行为方面</w:t>
      </w:r>
    </w:p>
    <w:p w:rsidR="00195041" w:rsidRDefault="00195041" w:rsidP="00195041">
      <w:pPr>
        <w:autoSpaceDE w:val="0"/>
        <w:autoSpaceDN w:val="0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大部分省份食用玉米和辣椒的相关行为指标，包括正确干燥率、正确储存率和加工前淘洗等均在</w:t>
      </w:r>
      <w:r>
        <w:rPr>
          <w:rFonts w:ascii="Times New Roman" w:hAnsi="Times New Roman"/>
          <w:sz w:val="24"/>
          <w:szCs w:val="24"/>
        </w:rPr>
        <w:t>95%</w:t>
      </w:r>
      <w:r>
        <w:rPr>
          <w:rFonts w:ascii="Times New Roman" w:hAnsi="Times New Roman"/>
          <w:sz w:val="24"/>
          <w:szCs w:val="24"/>
        </w:rPr>
        <w:t>以上。</w:t>
      </w:r>
      <w:r>
        <w:rPr>
          <w:rFonts w:ascii="Times New Roman"/>
          <w:bCs/>
          <w:sz w:val="24"/>
        </w:rPr>
        <w:t>与全国其他省份相比，</w:t>
      </w:r>
      <w:r>
        <w:rPr>
          <w:rFonts w:ascii="Times New Roman" w:hAnsi="Times New Roman" w:hint="eastAsia"/>
          <w:sz w:val="24"/>
          <w:szCs w:val="24"/>
        </w:rPr>
        <w:t>湖北的</w:t>
      </w:r>
      <w:r>
        <w:rPr>
          <w:rFonts w:ascii="Times New Roman" w:hAnsi="Times New Roman"/>
          <w:sz w:val="24"/>
          <w:szCs w:val="24"/>
        </w:rPr>
        <w:t>食用</w:t>
      </w:r>
      <w:r>
        <w:rPr>
          <w:rFonts w:ascii="Times New Roman" w:hAnsi="Times New Roman" w:hint="eastAsia"/>
          <w:sz w:val="24"/>
          <w:szCs w:val="24"/>
        </w:rPr>
        <w:t>玉米和</w:t>
      </w:r>
      <w:r>
        <w:rPr>
          <w:rFonts w:ascii="Times New Roman" w:hAnsi="Times New Roman"/>
          <w:sz w:val="24"/>
          <w:szCs w:val="24"/>
        </w:rPr>
        <w:t>辣椒的</w:t>
      </w:r>
      <w:r>
        <w:rPr>
          <w:rFonts w:ascii="Times New Roman" w:hAnsi="Times New Roman" w:hint="eastAsia"/>
          <w:sz w:val="24"/>
          <w:szCs w:val="24"/>
        </w:rPr>
        <w:t>保管方式和加工前淘洗指标均未达到</w:t>
      </w:r>
      <w:r>
        <w:rPr>
          <w:rFonts w:ascii="Times New Roman" w:hAnsi="Times New Roman" w:hint="eastAsia"/>
          <w:sz w:val="24"/>
          <w:szCs w:val="24"/>
        </w:rPr>
        <w:t>95%</w:t>
      </w:r>
      <w:r>
        <w:rPr>
          <w:rFonts w:ascii="Times New Roman" w:hAnsi="宋体"/>
          <w:sz w:val="24"/>
          <w:szCs w:val="24"/>
        </w:rPr>
        <w:t>。</w:t>
      </w:r>
    </w:p>
    <w:p w:rsidR="00195041" w:rsidRDefault="00195041" w:rsidP="00195041">
      <w:pPr>
        <w:pStyle w:val="GB2312TimesNewRoman2"/>
        <w:spacing w:line="360" w:lineRule="auto"/>
        <w:ind w:firstLine="482"/>
        <w:rPr>
          <w:rFonts w:eastAsia="宋体" w:cs="Times New Roman"/>
          <w:b/>
          <w:bCs/>
          <w:sz w:val="24"/>
          <w:szCs w:val="24"/>
        </w:rPr>
      </w:pPr>
      <w:r>
        <w:rPr>
          <w:rFonts w:eastAsia="宋体" w:hAnsi="宋体" w:cs="Times New Roman"/>
          <w:b/>
          <w:bCs/>
          <w:sz w:val="24"/>
          <w:szCs w:val="24"/>
        </w:rPr>
        <w:t>（</w:t>
      </w:r>
      <w:r>
        <w:rPr>
          <w:rFonts w:eastAsia="宋体" w:hAnsi="宋体" w:cs="Times New Roman" w:hint="eastAsia"/>
          <w:b/>
          <w:bCs/>
          <w:sz w:val="24"/>
          <w:szCs w:val="24"/>
        </w:rPr>
        <w:t>三</w:t>
      </w:r>
      <w:r>
        <w:rPr>
          <w:rFonts w:eastAsia="宋体" w:hAnsi="宋体" w:cs="Times New Roman"/>
          <w:b/>
          <w:bCs/>
          <w:sz w:val="24"/>
          <w:szCs w:val="24"/>
        </w:rPr>
        <w:t>）监测技术及质量控制方面</w:t>
      </w:r>
    </w:p>
    <w:p w:rsidR="00195041" w:rsidRDefault="00195041" w:rsidP="00195041">
      <w:pPr>
        <w:pStyle w:val="GB2312TimesNewRoman2"/>
        <w:spacing w:line="360" w:lineRule="auto"/>
        <w:ind w:firstLine="480"/>
        <w:rPr>
          <w:rFonts w:eastAsia="宋体" w:hAnsi="宋体" w:cs="Times New Roman" w:hint="eastAsia"/>
          <w:bCs/>
          <w:sz w:val="24"/>
          <w:szCs w:val="24"/>
        </w:rPr>
      </w:pPr>
      <w:r>
        <w:rPr>
          <w:rFonts w:eastAsia="宋体" w:hAnsi="宋体" w:cs="Times New Roman" w:hint="eastAsia"/>
          <w:bCs/>
          <w:sz w:val="24"/>
          <w:szCs w:val="24"/>
        </w:rPr>
        <w:t>有个别省份仍然存在以下问题：</w:t>
      </w:r>
      <w:r>
        <w:rPr>
          <w:rFonts w:ascii="宋体" w:eastAsia="宋体" w:hAnsi="宋体" w:hint="eastAsia"/>
          <w:bCs/>
          <w:sz w:val="24"/>
          <w:szCs w:val="24"/>
        </w:rPr>
        <w:t>①</w:t>
      </w:r>
      <w:r>
        <w:rPr>
          <w:rFonts w:eastAsia="宋体" w:hAnsi="宋体" w:cs="Times New Roman" w:hint="eastAsia"/>
          <w:bCs/>
          <w:sz w:val="24"/>
          <w:szCs w:val="24"/>
        </w:rPr>
        <w:t>对炉灶类型、质量、是否正确使用以及玉米和辣椒的相关生活行为等标记混乱，导致统计数据不准确；</w:t>
      </w:r>
      <w:r>
        <w:rPr>
          <w:rFonts w:ascii="宋体" w:eastAsia="宋体" w:hAnsi="宋体" w:hint="eastAsia"/>
          <w:bCs/>
          <w:sz w:val="24"/>
          <w:szCs w:val="24"/>
        </w:rPr>
        <w:t>②</w:t>
      </w:r>
      <w:r>
        <w:rPr>
          <w:rFonts w:eastAsia="宋体" w:hAnsi="宋体" w:cs="Times New Roman" w:hint="eastAsia"/>
          <w:bCs/>
          <w:sz w:val="24"/>
          <w:szCs w:val="24"/>
        </w:rPr>
        <w:t>入户调查数据中出现了一户家庭中四类炉灶类型均标记为</w:t>
      </w:r>
      <w:r>
        <w:rPr>
          <w:rFonts w:eastAsia="宋体" w:hAnsi="宋体" w:cs="Times New Roman" w:hint="eastAsia"/>
          <w:bCs/>
          <w:sz w:val="24"/>
          <w:szCs w:val="24"/>
        </w:rPr>
        <w:t>0</w:t>
      </w:r>
      <w:r>
        <w:rPr>
          <w:rFonts w:eastAsia="宋体" w:hAnsi="宋体" w:cs="Times New Roman" w:hint="eastAsia"/>
          <w:bCs/>
          <w:sz w:val="24"/>
          <w:szCs w:val="24"/>
        </w:rPr>
        <w:t>的现象，表明此家庭不使用任何炉灶</w:t>
      </w:r>
      <w:r>
        <w:rPr>
          <w:rFonts w:eastAsia="宋体" w:cs="Times New Roman" w:hint="eastAsia"/>
          <w:bCs/>
          <w:sz w:val="24"/>
          <w:szCs w:val="24"/>
        </w:rPr>
        <w:t>；</w:t>
      </w:r>
      <w:r>
        <w:rPr>
          <w:rFonts w:ascii="宋体" w:eastAsia="宋体" w:hAnsi="宋体" w:hint="eastAsia"/>
          <w:bCs/>
          <w:sz w:val="24"/>
          <w:szCs w:val="24"/>
        </w:rPr>
        <w:t>③</w:t>
      </w:r>
      <w:r>
        <w:rPr>
          <w:rFonts w:eastAsia="宋体" w:hAnsi="宋体" w:cs="Times New Roman" w:hint="eastAsia"/>
          <w:bCs/>
          <w:sz w:val="24"/>
          <w:szCs w:val="24"/>
        </w:rPr>
        <w:t>对有些率的计算概念不清，改良煤炉（灶）和改良炉灶的概念混淆等；</w:t>
      </w:r>
      <w:r>
        <w:rPr>
          <w:rFonts w:ascii="宋体" w:eastAsia="宋体" w:hAnsi="宋体" w:hint="eastAsia"/>
          <w:bCs/>
          <w:sz w:val="24"/>
          <w:szCs w:val="24"/>
        </w:rPr>
        <w:t>④</w:t>
      </w:r>
      <w:r>
        <w:rPr>
          <w:rFonts w:eastAsia="宋体" w:hAnsi="宋体" w:cs="Times New Roman" w:hint="eastAsia"/>
          <w:bCs/>
          <w:sz w:val="24"/>
          <w:szCs w:val="24"/>
        </w:rPr>
        <w:t>监测报告只是对各个县的数据进行了简单罗列，没有对出现的问题进行必要的汇总、分析和讨论。</w:t>
      </w:r>
    </w:p>
    <w:p w:rsidR="00FC7F1F" w:rsidRDefault="00FC7F1F" w:rsidP="00FC7F1F">
      <w:pPr>
        <w:pStyle w:val="GB2312TimesNewRoman2"/>
        <w:spacing w:line="360" w:lineRule="auto"/>
        <w:ind w:firstLine="482"/>
        <w:rPr>
          <w:rFonts w:eastAsia="宋体" w:cs="Times New Roman"/>
          <w:b/>
          <w:bCs/>
          <w:sz w:val="24"/>
          <w:szCs w:val="24"/>
        </w:rPr>
      </w:pPr>
      <w:r>
        <w:rPr>
          <w:rFonts w:eastAsia="宋体" w:hAnsi="宋体" w:cs="Times New Roman" w:hint="eastAsia"/>
          <w:b/>
          <w:bCs/>
          <w:sz w:val="24"/>
          <w:szCs w:val="24"/>
        </w:rPr>
        <w:t>四</w:t>
      </w:r>
      <w:r>
        <w:rPr>
          <w:rFonts w:eastAsia="宋体" w:hAnsi="宋体" w:cs="Times New Roman"/>
          <w:b/>
          <w:bCs/>
          <w:sz w:val="24"/>
          <w:szCs w:val="24"/>
        </w:rPr>
        <w:t>、防治工作建议</w:t>
      </w:r>
    </w:p>
    <w:p w:rsidR="00FC7F1F" w:rsidRDefault="00FC7F1F" w:rsidP="00FC7F1F">
      <w:pPr>
        <w:pStyle w:val="GB2312TimesNewRoman2"/>
        <w:spacing w:line="360" w:lineRule="auto"/>
        <w:ind w:firstLine="482"/>
        <w:rPr>
          <w:rFonts w:eastAsia="宋体" w:cs="Times New Roman" w:hint="eastAsia"/>
          <w:b/>
          <w:bCs/>
          <w:sz w:val="24"/>
          <w:szCs w:val="24"/>
        </w:rPr>
      </w:pPr>
      <w:r>
        <w:rPr>
          <w:rFonts w:eastAsia="宋体" w:hAnsi="宋体" w:cs="Times New Roman"/>
          <w:b/>
          <w:bCs/>
          <w:sz w:val="24"/>
          <w:szCs w:val="24"/>
        </w:rPr>
        <w:t>（一）继续做好监测工作</w:t>
      </w:r>
    </w:p>
    <w:p w:rsidR="00FC7F1F" w:rsidRDefault="00FC7F1F" w:rsidP="00FC7F1F">
      <w:pPr>
        <w:autoSpaceDE w:val="0"/>
        <w:autoSpaceDN w:val="0"/>
        <w:ind w:firstLineChars="200" w:firstLine="48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在地方病防治管理与脱贫攻坚相结合的大背景下，我国燃煤污染型地氟病病区经济有了较大发展，防治取得了显著成效。但是，随着时间的延长，病区防治人员和病区百姓对燃煤型氟中毒的防控意识必然减弱。氟中毒防治工作是一项长期工作，必须坚持长效防控机制，做到组织不散、人员不减、工作不停，持续做好监测工作，及时掌握病情变化特点和影响因素，做到早发现、早干预，巩固防治成果，彻底形成当地居民健康生活习惯，真正根除病区产生的条件。</w:t>
      </w:r>
    </w:p>
    <w:p w:rsidR="00FC7F1F" w:rsidRDefault="00FC7F1F" w:rsidP="00FC7F1F">
      <w:pPr>
        <w:pStyle w:val="GB2312TimesNewRoman2"/>
        <w:spacing w:line="360" w:lineRule="auto"/>
        <w:ind w:firstLine="482"/>
        <w:rPr>
          <w:rFonts w:eastAsia="宋体" w:hAnsi="宋体" w:cs="Times New Roman"/>
          <w:b/>
          <w:bCs/>
          <w:sz w:val="24"/>
          <w:szCs w:val="24"/>
        </w:rPr>
      </w:pPr>
      <w:r>
        <w:rPr>
          <w:rFonts w:eastAsia="宋体" w:hAnsi="宋体" w:cs="Times New Roman"/>
          <w:b/>
          <w:bCs/>
          <w:sz w:val="24"/>
          <w:szCs w:val="24"/>
        </w:rPr>
        <w:t>（二）加强健康宣教和分类指导，不断巩固防治成效</w:t>
      </w:r>
    </w:p>
    <w:p w:rsidR="00FC7F1F" w:rsidRDefault="00FC7F1F" w:rsidP="00FC7F1F">
      <w:pPr>
        <w:autoSpaceDE w:val="0"/>
        <w:autoSpaceDN w:val="0"/>
        <w:ind w:firstLineChars="200" w:firstLine="480"/>
        <w:rPr>
          <w:rFonts w:ascii="Times New Roman" w:hAnsi="Times New Roman" w:hint="eastAsia"/>
          <w:sz w:val="24"/>
          <w:szCs w:val="24"/>
        </w:rPr>
      </w:pPr>
      <w:r>
        <w:rPr>
          <w:rFonts w:hint="eastAsia"/>
          <w:bCs/>
          <w:sz w:val="24"/>
          <w:szCs w:val="24"/>
        </w:rPr>
        <w:t>针对问题突出的病区要持续进行重点关注，如一些省份的个别地区仍然使用敞炉（灶）、改良煤炉（灶）合格率低、食用玉米和辣椒</w:t>
      </w:r>
      <w:r>
        <w:rPr>
          <w:rFonts w:ascii="Times New Roman" w:hAnsi="Times New Roman"/>
          <w:sz w:val="24"/>
          <w:szCs w:val="24"/>
        </w:rPr>
        <w:t>正确储存率和</w:t>
      </w:r>
      <w:r>
        <w:rPr>
          <w:rFonts w:hint="eastAsia"/>
          <w:bCs/>
          <w:sz w:val="24"/>
          <w:szCs w:val="24"/>
        </w:rPr>
        <w:t>加工前淘洗率低、儿童氟斑牙检出率仍较高等，应找出问题的关键和难点所在，在强化综合防治措施的同时，有针对性地落实专项防治措施，</w:t>
      </w:r>
      <w:r>
        <w:rPr>
          <w:rFonts w:ascii="仿宋_GB2312" w:hint="eastAsia"/>
          <w:bCs/>
          <w:sz w:val="24"/>
          <w:szCs w:val="24"/>
        </w:rPr>
        <w:t>可根据各省的实际情况，利用新媒体平台，开展健康宣传和教育，</w:t>
      </w:r>
      <w:r>
        <w:rPr>
          <w:rFonts w:ascii="Times New Roman" w:hAnsi="宋体"/>
          <w:bCs/>
          <w:color w:val="000000"/>
          <w:sz w:val="24"/>
          <w:szCs w:val="24"/>
        </w:rPr>
        <w:t>增强</w:t>
      </w:r>
      <w:r>
        <w:rPr>
          <w:rFonts w:ascii="Times New Roman" w:hAnsi="宋体" w:hint="eastAsia"/>
          <w:bCs/>
          <w:color w:val="000000"/>
          <w:sz w:val="24"/>
          <w:szCs w:val="24"/>
        </w:rPr>
        <w:t>病区居民防病</w:t>
      </w:r>
      <w:r>
        <w:rPr>
          <w:rFonts w:ascii="Times New Roman" w:hAnsi="宋体"/>
          <w:bCs/>
          <w:color w:val="000000"/>
          <w:sz w:val="24"/>
          <w:szCs w:val="24"/>
        </w:rPr>
        <w:t>意识，改变不良的卫生行为习惯</w:t>
      </w:r>
      <w:r>
        <w:rPr>
          <w:rFonts w:ascii="Times New Roman" w:hAnsi="宋体" w:hint="eastAsia"/>
          <w:bCs/>
          <w:color w:val="000000"/>
          <w:sz w:val="24"/>
          <w:szCs w:val="24"/>
        </w:rPr>
        <w:t>，</w:t>
      </w:r>
      <w:r>
        <w:rPr>
          <w:rFonts w:hint="eastAsia"/>
          <w:bCs/>
          <w:sz w:val="24"/>
          <w:szCs w:val="24"/>
        </w:rPr>
        <w:t>不断巩固防治成效</w:t>
      </w:r>
      <w:r>
        <w:rPr>
          <w:rFonts w:hint="eastAsia"/>
          <w:bCs/>
          <w:color w:val="000000"/>
          <w:sz w:val="24"/>
          <w:szCs w:val="24"/>
        </w:rPr>
        <w:t>。</w:t>
      </w:r>
    </w:p>
    <w:p w:rsidR="00FC7F1F" w:rsidRDefault="00FC7F1F" w:rsidP="00FC7F1F">
      <w:pPr>
        <w:pStyle w:val="GB2312TimesNewRoman2"/>
        <w:spacing w:line="360" w:lineRule="auto"/>
        <w:ind w:firstLine="482"/>
        <w:rPr>
          <w:rFonts w:eastAsia="宋体" w:hAnsi="宋体" w:cs="Times New Roman" w:hint="eastAsia"/>
          <w:b/>
          <w:bCs/>
          <w:sz w:val="24"/>
          <w:szCs w:val="24"/>
        </w:rPr>
      </w:pPr>
      <w:r>
        <w:rPr>
          <w:rFonts w:eastAsia="宋体" w:hAnsi="宋体" w:cs="Times New Roman"/>
          <w:b/>
          <w:bCs/>
          <w:sz w:val="24"/>
          <w:szCs w:val="24"/>
        </w:rPr>
        <w:lastRenderedPageBreak/>
        <w:t>（</w:t>
      </w:r>
      <w:r>
        <w:rPr>
          <w:rFonts w:eastAsia="宋体" w:hAnsi="宋体" w:cs="Times New Roman" w:hint="eastAsia"/>
          <w:b/>
          <w:bCs/>
          <w:sz w:val="24"/>
          <w:szCs w:val="24"/>
        </w:rPr>
        <w:t>三</w:t>
      </w:r>
      <w:r>
        <w:rPr>
          <w:rFonts w:eastAsia="宋体" w:hAnsi="宋体" w:cs="Times New Roman"/>
          <w:b/>
          <w:bCs/>
          <w:sz w:val="24"/>
          <w:szCs w:val="24"/>
        </w:rPr>
        <w:t>）通过加强专业技术培训</w:t>
      </w:r>
      <w:r>
        <w:rPr>
          <w:rFonts w:eastAsia="宋体" w:hAnsi="宋体" w:cs="Times New Roman" w:hint="eastAsia"/>
          <w:b/>
          <w:bCs/>
          <w:sz w:val="24"/>
          <w:szCs w:val="24"/>
        </w:rPr>
        <w:t>进一步</w:t>
      </w:r>
      <w:r>
        <w:rPr>
          <w:rFonts w:eastAsia="宋体" w:hAnsi="宋体" w:cs="Times New Roman"/>
          <w:b/>
          <w:bCs/>
          <w:sz w:val="24"/>
          <w:szCs w:val="24"/>
        </w:rPr>
        <w:t>提高监测质量</w:t>
      </w:r>
    </w:p>
    <w:p w:rsidR="00FC7F1F" w:rsidRDefault="00FC7F1F" w:rsidP="00FC7F1F">
      <w:pPr>
        <w:pStyle w:val="GB2312TimesNewRoman2"/>
        <w:spacing w:line="360" w:lineRule="auto"/>
        <w:ind w:firstLine="480"/>
        <w:rPr>
          <w:rFonts w:eastAsia="宋体" w:cs="Times New Roman" w:hint="eastAsia"/>
          <w:bCs/>
          <w:sz w:val="21"/>
          <w:szCs w:val="21"/>
        </w:rPr>
      </w:pPr>
      <w:r>
        <w:rPr>
          <w:rFonts w:eastAsia="宋体" w:cs="Times New Roman" w:hint="eastAsia"/>
          <w:bCs/>
          <w:sz w:val="24"/>
          <w:szCs w:val="24"/>
        </w:rPr>
        <w:t>各监测单位应继续加强各级人员防治能力建设，强化地方病防控专业队伍建设，按照逐级分类培训的原则，采取多种培训和考评方式，</w:t>
      </w:r>
      <w:r>
        <w:rPr>
          <w:rFonts w:ascii="仿宋_GB2312" w:eastAsia="宋体" w:hAnsi="Calibri" w:cs="Times New Roman" w:hint="eastAsia"/>
          <w:bCs/>
          <w:sz w:val="24"/>
          <w:szCs w:val="24"/>
        </w:rPr>
        <w:t>提高监测人员的业务水平</w:t>
      </w:r>
      <w:r>
        <w:rPr>
          <w:rFonts w:eastAsia="宋体" w:cs="Times New Roman" w:hint="eastAsia"/>
          <w:bCs/>
          <w:sz w:val="24"/>
          <w:szCs w:val="24"/>
        </w:rPr>
        <w:t>。</w:t>
      </w:r>
      <w:r>
        <w:rPr>
          <w:rFonts w:ascii="仿宋_GB2312" w:eastAsia="宋体" w:hAnsi="Calibri" w:cs="Times New Roman" w:hint="eastAsia"/>
          <w:bCs/>
          <w:sz w:val="24"/>
          <w:szCs w:val="24"/>
        </w:rPr>
        <w:t>上级监测单位应对下级监测单位上报的各项监测数据进行严格审核，及时发现问题并改正。</w:t>
      </w:r>
      <w:r>
        <w:rPr>
          <w:rFonts w:eastAsia="宋体" w:cs="Times New Roman" w:hint="eastAsia"/>
          <w:bCs/>
          <w:sz w:val="24"/>
          <w:szCs w:val="24"/>
        </w:rPr>
        <w:t>针对县一级更换监测工作人员的问题，要做到提前掌握并进行重点培训，以保证监测工作质量。</w:t>
      </w:r>
    </w:p>
    <w:p w:rsidR="00FC7F1F" w:rsidRPr="00FC7F1F" w:rsidRDefault="00FC7F1F" w:rsidP="00195041">
      <w:pPr>
        <w:pStyle w:val="GB2312TimesNewRoman2"/>
        <w:spacing w:line="360" w:lineRule="auto"/>
        <w:ind w:firstLine="480"/>
        <w:rPr>
          <w:rFonts w:eastAsia="宋体" w:hAnsi="宋体" w:cs="Times New Roman"/>
          <w:sz w:val="24"/>
          <w:szCs w:val="24"/>
        </w:rPr>
      </w:pPr>
    </w:p>
    <w:sectPr w:rsidR="00FC7F1F" w:rsidRPr="00FC7F1F" w:rsidSect="00D1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70" w:rsidRDefault="00665E70" w:rsidP="00195041">
      <w:pPr>
        <w:spacing w:line="240" w:lineRule="auto"/>
      </w:pPr>
      <w:r>
        <w:separator/>
      </w:r>
    </w:p>
  </w:endnote>
  <w:endnote w:type="continuationSeparator" w:id="0">
    <w:p w:rsidR="00665E70" w:rsidRDefault="00665E70" w:rsidP="001950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70" w:rsidRDefault="00665E70" w:rsidP="00195041">
      <w:pPr>
        <w:spacing w:line="240" w:lineRule="auto"/>
      </w:pPr>
      <w:r>
        <w:separator/>
      </w:r>
    </w:p>
  </w:footnote>
  <w:footnote w:type="continuationSeparator" w:id="0">
    <w:p w:rsidR="00665E70" w:rsidRDefault="00665E70" w:rsidP="001950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1560F"/>
    <w:multiLevelType w:val="hybridMultilevel"/>
    <w:tmpl w:val="1A8A6F46"/>
    <w:lvl w:ilvl="0" w:tplc="881E770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041"/>
    <w:rsid w:val="0001365D"/>
    <w:rsid w:val="00013A3F"/>
    <w:rsid w:val="00023853"/>
    <w:rsid w:val="00025DBD"/>
    <w:rsid w:val="0003527C"/>
    <w:rsid w:val="0003767B"/>
    <w:rsid w:val="000505B7"/>
    <w:rsid w:val="00051AE8"/>
    <w:rsid w:val="00052535"/>
    <w:rsid w:val="000548CD"/>
    <w:rsid w:val="00055610"/>
    <w:rsid w:val="00057503"/>
    <w:rsid w:val="00060B55"/>
    <w:rsid w:val="00063390"/>
    <w:rsid w:val="000649E6"/>
    <w:rsid w:val="00065F77"/>
    <w:rsid w:val="00073497"/>
    <w:rsid w:val="00085C8A"/>
    <w:rsid w:val="00092A4C"/>
    <w:rsid w:val="0009741F"/>
    <w:rsid w:val="00097FDF"/>
    <w:rsid w:val="000A103E"/>
    <w:rsid w:val="000A19EB"/>
    <w:rsid w:val="000A28EA"/>
    <w:rsid w:val="000A5E28"/>
    <w:rsid w:val="000A7F93"/>
    <w:rsid w:val="000B768A"/>
    <w:rsid w:val="000C1971"/>
    <w:rsid w:val="000C3665"/>
    <w:rsid w:val="000C3FAE"/>
    <w:rsid w:val="000D393B"/>
    <w:rsid w:val="000E21D5"/>
    <w:rsid w:val="000E5CEE"/>
    <w:rsid w:val="000F74B9"/>
    <w:rsid w:val="00105FFE"/>
    <w:rsid w:val="00112421"/>
    <w:rsid w:val="0011366D"/>
    <w:rsid w:val="00114DC7"/>
    <w:rsid w:val="001171F6"/>
    <w:rsid w:val="00124903"/>
    <w:rsid w:val="001311E2"/>
    <w:rsid w:val="00134919"/>
    <w:rsid w:val="00137DCD"/>
    <w:rsid w:val="001414DA"/>
    <w:rsid w:val="00147FDE"/>
    <w:rsid w:val="00152235"/>
    <w:rsid w:val="00160219"/>
    <w:rsid w:val="0016545C"/>
    <w:rsid w:val="001667A7"/>
    <w:rsid w:val="001711BF"/>
    <w:rsid w:val="00171F03"/>
    <w:rsid w:val="00172078"/>
    <w:rsid w:val="001745BA"/>
    <w:rsid w:val="001753ED"/>
    <w:rsid w:val="0018419F"/>
    <w:rsid w:val="00190974"/>
    <w:rsid w:val="001921FF"/>
    <w:rsid w:val="00195041"/>
    <w:rsid w:val="00196165"/>
    <w:rsid w:val="00197BC2"/>
    <w:rsid w:val="001A0C62"/>
    <w:rsid w:val="001A1828"/>
    <w:rsid w:val="001A3934"/>
    <w:rsid w:val="001A43D2"/>
    <w:rsid w:val="001B1F32"/>
    <w:rsid w:val="001B7530"/>
    <w:rsid w:val="001C115A"/>
    <w:rsid w:val="001C586C"/>
    <w:rsid w:val="001C601E"/>
    <w:rsid w:val="001D40F0"/>
    <w:rsid w:val="001D4DBE"/>
    <w:rsid w:val="001D7731"/>
    <w:rsid w:val="001E0CD8"/>
    <w:rsid w:val="001E16C7"/>
    <w:rsid w:val="001E3BD5"/>
    <w:rsid w:val="001E4030"/>
    <w:rsid w:val="001F7D9F"/>
    <w:rsid w:val="00203ADD"/>
    <w:rsid w:val="0021582E"/>
    <w:rsid w:val="00223266"/>
    <w:rsid w:val="002275F7"/>
    <w:rsid w:val="00240381"/>
    <w:rsid w:val="00253A21"/>
    <w:rsid w:val="00260DBA"/>
    <w:rsid w:val="00263DAC"/>
    <w:rsid w:val="0026594B"/>
    <w:rsid w:val="00272B1A"/>
    <w:rsid w:val="00274567"/>
    <w:rsid w:val="002819D1"/>
    <w:rsid w:val="002868C5"/>
    <w:rsid w:val="00291AEC"/>
    <w:rsid w:val="00292457"/>
    <w:rsid w:val="00293349"/>
    <w:rsid w:val="0029684F"/>
    <w:rsid w:val="002B2517"/>
    <w:rsid w:val="002B5184"/>
    <w:rsid w:val="002B763C"/>
    <w:rsid w:val="002F4A76"/>
    <w:rsid w:val="002F7C51"/>
    <w:rsid w:val="003017EA"/>
    <w:rsid w:val="0031225B"/>
    <w:rsid w:val="00314F8D"/>
    <w:rsid w:val="00315EF6"/>
    <w:rsid w:val="0032379D"/>
    <w:rsid w:val="00325867"/>
    <w:rsid w:val="00326B91"/>
    <w:rsid w:val="00327524"/>
    <w:rsid w:val="003416A3"/>
    <w:rsid w:val="00342BD6"/>
    <w:rsid w:val="00343C16"/>
    <w:rsid w:val="0034577A"/>
    <w:rsid w:val="0034787C"/>
    <w:rsid w:val="00347A49"/>
    <w:rsid w:val="00351AF0"/>
    <w:rsid w:val="00355CE3"/>
    <w:rsid w:val="00362F93"/>
    <w:rsid w:val="003649EB"/>
    <w:rsid w:val="00365C28"/>
    <w:rsid w:val="00365F61"/>
    <w:rsid w:val="00371707"/>
    <w:rsid w:val="003719C9"/>
    <w:rsid w:val="003744EC"/>
    <w:rsid w:val="0037662C"/>
    <w:rsid w:val="00382981"/>
    <w:rsid w:val="003837E9"/>
    <w:rsid w:val="00384F06"/>
    <w:rsid w:val="00386379"/>
    <w:rsid w:val="00387419"/>
    <w:rsid w:val="0039450D"/>
    <w:rsid w:val="003978A5"/>
    <w:rsid w:val="003A3255"/>
    <w:rsid w:val="003A3898"/>
    <w:rsid w:val="003B02A3"/>
    <w:rsid w:val="003B2422"/>
    <w:rsid w:val="003C450C"/>
    <w:rsid w:val="003C5E42"/>
    <w:rsid w:val="003D2641"/>
    <w:rsid w:val="003D6952"/>
    <w:rsid w:val="003E0E59"/>
    <w:rsid w:val="003E1C12"/>
    <w:rsid w:val="003E1FC8"/>
    <w:rsid w:val="003E3C75"/>
    <w:rsid w:val="003F24E7"/>
    <w:rsid w:val="003F4051"/>
    <w:rsid w:val="003F4AB3"/>
    <w:rsid w:val="003F628D"/>
    <w:rsid w:val="004011CA"/>
    <w:rsid w:val="0040373A"/>
    <w:rsid w:val="00412B3F"/>
    <w:rsid w:val="00414D1A"/>
    <w:rsid w:val="004170DD"/>
    <w:rsid w:val="00423DFD"/>
    <w:rsid w:val="00426221"/>
    <w:rsid w:val="004269C9"/>
    <w:rsid w:val="0043295C"/>
    <w:rsid w:val="00434A72"/>
    <w:rsid w:val="0043516B"/>
    <w:rsid w:val="0044062A"/>
    <w:rsid w:val="00441095"/>
    <w:rsid w:val="004527B8"/>
    <w:rsid w:val="00453225"/>
    <w:rsid w:val="00454035"/>
    <w:rsid w:val="004746C8"/>
    <w:rsid w:val="00474C89"/>
    <w:rsid w:val="004766B6"/>
    <w:rsid w:val="00477755"/>
    <w:rsid w:val="00477CC9"/>
    <w:rsid w:val="00491200"/>
    <w:rsid w:val="00491AD6"/>
    <w:rsid w:val="004A16C3"/>
    <w:rsid w:val="004B5593"/>
    <w:rsid w:val="004B6368"/>
    <w:rsid w:val="004B70EC"/>
    <w:rsid w:val="004C00C7"/>
    <w:rsid w:val="004C0397"/>
    <w:rsid w:val="004C3D0A"/>
    <w:rsid w:val="004C68C0"/>
    <w:rsid w:val="004D1343"/>
    <w:rsid w:val="004D2A9E"/>
    <w:rsid w:val="004F041A"/>
    <w:rsid w:val="004F1E93"/>
    <w:rsid w:val="004F3ADF"/>
    <w:rsid w:val="004F4683"/>
    <w:rsid w:val="004F48C7"/>
    <w:rsid w:val="0050047A"/>
    <w:rsid w:val="00511E8C"/>
    <w:rsid w:val="00520105"/>
    <w:rsid w:val="005255D0"/>
    <w:rsid w:val="00527939"/>
    <w:rsid w:val="00527FC8"/>
    <w:rsid w:val="00534A3E"/>
    <w:rsid w:val="00541D1F"/>
    <w:rsid w:val="00544D89"/>
    <w:rsid w:val="0055521D"/>
    <w:rsid w:val="00555DF3"/>
    <w:rsid w:val="00565CEB"/>
    <w:rsid w:val="00566C65"/>
    <w:rsid w:val="00567015"/>
    <w:rsid w:val="0056783D"/>
    <w:rsid w:val="00573881"/>
    <w:rsid w:val="00577464"/>
    <w:rsid w:val="005834ED"/>
    <w:rsid w:val="00583CA2"/>
    <w:rsid w:val="00584BB1"/>
    <w:rsid w:val="005940C0"/>
    <w:rsid w:val="0059473A"/>
    <w:rsid w:val="005A4055"/>
    <w:rsid w:val="005B0610"/>
    <w:rsid w:val="005B25EC"/>
    <w:rsid w:val="005B49B8"/>
    <w:rsid w:val="005B5EFB"/>
    <w:rsid w:val="005B7CA3"/>
    <w:rsid w:val="005C19FF"/>
    <w:rsid w:val="005C4132"/>
    <w:rsid w:val="005C4BFE"/>
    <w:rsid w:val="005D40C6"/>
    <w:rsid w:val="005D4321"/>
    <w:rsid w:val="005D59B0"/>
    <w:rsid w:val="005E72E8"/>
    <w:rsid w:val="005E7645"/>
    <w:rsid w:val="005F454F"/>
    <w:rsid w:val="005F76FE"/>
    <w:rsid w:val="00601726"/>
    <w:rsid w:val="00604FE4"/>
    <w:rsid w:val="006073FC"/>
    <w:rsid w:val="00607ACC"/>
    <w:rsid w:val="00616088"/>
    <w:rsid w:val="006168B9"/>
    <w:rsid w:val="006179DE"/>
    <w:rsid w:val="00617B33"/>
    <w:rsid w:val="00617C19"/>
    <w:rsid w:val="00620FBA"/>
    <w:rsid w:val="00625FC3"/>
    <w:rsid w:val="00626E80"/>
    <w:rsid w:val="00631738"/>
    <w:rsid w:val="00634446"/>
    <w:rsid w:val="00634B4C"/>
    <w:rsid w:val="00641A71"/>
    <w:rsid w:val="0064291E"/>
    <w:rsid w:val="006442C1"/>
    <w:rsid w:val="00644A63"/>
    <w:rsid w:val="00651B84"/>
    <w:rsid w:val="0066258C"/>
    <w:rsid w:val="00665E70"/>
    <w:rsid w:val="006725CB"/>
    <w:rsid w:val="00673190"/>
    <w:rsid w:val="0068027A"/>
    <w:rsid w:val="00681965"/>
    <w:rsid w:val="00682F0E"/>
    <w:rsid w:val="006858DE"/>
    <w:rsid w:val="00693334"/>
    <w:rsid w:val="00693720"/>
    <w:rsid w:val="00697065"/>
    <w:rsid w:val="006A1013"/>
    <w:rsid w:val="006A7916"/>
    <w:rsid w:val="006B3BED"/>
    <w:rsid w:val="006B408F"/>
    <w:rsid w:val="006C0433"/>
    <w:rsid w:val="006C12D9"/>
    <w:rsid w:val="006C4422"/>
    <w:rsid w:val="006D3F23"/>
    <w:rsid w:val="006D64B7"/>
    <w:rsid w:val="006F0D34"/>
    <w:rsid w:val="006F2D1A"/>
    <w:rsid w:val="00706D10"/>
    <w:rsid w:val="007125BD"/>
    <w:rsid w:val="00715787"/>
    <w:rsid w:val="00717FE9"/>
    <w:rsid w:val="00722CA2"/>
    <w:rsid w:val="00722EE4"/>
    <w:rsid w:val="007279C1"/>
    <w:rsid w:val="00733015"/>
    <w:rsid w:val="007330CC"/>
    <w:rsid w:val="0073646B"/>
    <w:rsid w:val="00743368"/>
    <w:rsid w:val="0074739C"/>
    <w:rsid w:val="0075168E"/>
    <w:rsid w:val="00753274"/>
    <w:rsid w:val="00765D1B"/>
    <w:rsid w:val="00766BF1"/>
    <w:rsid w:val="00770DCB"/>
    <w:rsid w:val="007773DE"/>
    <w:rsid w:val="00781D82"/>
    <w:rsid w:val="00797F18"/>
    <w:rsid w:val="007A0A8F"/>
    <w:rsid w:val="007A34AC"/>
    <w:rsid w:val="007A55B7"/>
    <w:rsid w:val="007A5AC3"/>
    <w:rsid w:val="007B0D0A"/>
    <w:rsid w:val="007B6BE4"/>
    <w:rsid w:val="007B6F0A"/>
    <w:rsid w:val="007C1232"/>
    <w:rsid w:val="007C3845"/>
    <w:rsid w:val="007C42DB"/>
    <w:rsid w:val="007C5AB8"/>
    <w:rsid w:val="007C7AC0"/>
    <w:rsid w:val="007D392B"/>
    <w:rsid w:val="007D4105"/>
    <w:rsid w:val="007E00CD"/>
    <w:rsid w:val="007E07F7"/>
    <w:rsid w:val="007E5AB7"/>
    <w:rsid w:val="007E5CA9"/>
    <w:rsid w:val="007E66AE"/>
    <w:rsid w:val="007F241A"/>
    <w:rsid w:val="007F4B51"/>
    <w:rsid w:val="007F56F9"/>
    <w:rsid w:val="007F65F2"/>
    <w:rsid w:val="00804688"/>
    <w:rsid w:val="00812056"/>
    <w:rsid w:val="00813D5F"/>
    <w:rsid w:val="00824458"/>
    <w:rsid w:val="00826849"/>
    <w:rsid w:val="00835F04"/>
    <w:rsid w:val="00835FCF"/>
    <w:rsid w:val="00836B1A"/>
    <w:rsid w:val="00845AF7"/>
    <w:rsid w:val="008508A0"/>
    <w:rsid w:val="00850B29"/>
    <w:rsid w:val="00857E87"/>
    <w:rsid w:val="008723BC"/>
    <w:rsid w:val="0087417D"/>
    <w:rsid w:val="00874F53"/>
    <w:rsid w:val="00877455"/>
    <w:rsid w:val="00882F84"/>
    <w:rsid w:val="00883BC6"/>
    <w:rsid w:val="00892EBC"/>
    <w:rsid w:val="008978B7"/>
    <w:rsid w:val="008A19E4"/>
    <w:rsid w:val="008B21F5"/>
    <w:rsid w:val="008D2089"/>
    <w:rsid w:val="008D2E80"/>
    <w:rsid w:val="008D7CF1"/>
    <w:rsid w:val="008D7E99"/>
    <w:rsid w:val="008E2C54"/>
    <w:rsid w:val="008E66A4"/>
    <w:rsid w:val="008F0554"/>
    <w:rsid w:val="008F1202"/>
    <w:rsid w:val="008F704E"/>
    <w:rsid w:val="009033DB"/>
    <w:rsid w:val="00904639"/>
    <w:rsid w:val="00914094"/>
    <w:rsid w:val="00914D08"/>
    <w:rsid w:val="00935F0C"/>
    <w:rsid w:val="00944399"/>
    <w:rsid w:val="00946A69"/>
    <w:rsid w:val="0095623B"/>
    <w:rsid w:val="0095625C"/>
    <w:rsid w:val="009603AA"/>
    <w:rsid w:val="0096133A"/>
    <w:rsid w:val="00961524"/>
    <w:rsid w:val="0097179E"/>
    <w:rsid w:val="00973295"/>
    <w:rsid w:val="0098061C"/>
    <w:rsid w:val="0098466B"/>
    <w:rsid w:val="0098708B"/>
    <w:rsid w:val="0099641E"/>
    <w:rsid w:val="009A0D6F"/>
    <w:rsid w:val="009C19FF"/>
    <w:rsid w:val="009C462F"/>
    <w:rsid w:val="009C7DFA"/>
    <w:rsid w:val="009D0BCE"/>
    <w:rsid w:val="009D3833"/>
    <w:rsid w:val="009E3B98"/>
    <w:rsid w:val="009F364C"/>
    <w:rsid w:val="009F5735"/>
    <w:rsid w:val="00A035BC"/>
    <w:rsid w:val="00A22E1D"/>
    <w:rsid w:val="00A279CB"/>
    <w:rsid w:val="00A35905"/>
    <w:rsid w:val="00A456CA"/>
    <w:rsid w:val="00A50CA6"/>
    <w:rsid w:val="00A51E01"/>
    <w:rsid w:val="00A6072C"/>
    <w:rsid w:val="00A6259C"/>
    <w:rsid w:val="00A65AB6"/>
    <w:rsid w:val="00A65D01"/>
    <w:rsid w:val="00A71AE7"/>
    <w:rsid w:val="00A7206F"/>
    <w:rsid w:val="00A727D4"/>
    <w:rsid w:val="00A93C76"/>
    <w:rsid w:val="00AA05D4"/>
    <w:rsid w:val="00AA4B36"/>
    <w:rsid w:val="00AA560A"/>
    <w:rsid w:val="00AA561A"/>
    <w:rsid w:val="00AA656C"/>
    <w:rsid w:val="00AA7199"/>
    <w:rsid w:val="00AB2967"/>
    <w:rsid w:val="00AB483F"/>
    <w:rsid w:val="00AC08FB"/>
    <w:rsid w:val="00AC2FE3"/>
    <w:rsid w:val="00AD1C25"/>
    <w:rsid w:val="00AD3C94"/>
    <w:rsid w:val="00AD5F94"/>
    <w:rsid w:val="00AE3D78"/>
    <w:rsid w:val="00AE5037"/>
    <w:rsid w:val="00AE708D"/>
    <w:rsid w:val="00AF0A1E"/>
    <w:rsid w:val="00AF14EB"/>
    <w:rsid w:val="00B037E7"/>
    <w:rsid w:val="00B076B8"/>
    <w:rsid w:val="00B20B5D"/>
    <w:rsid w:val="00B22AAC"/>
    <w:rsid w:val="00B2415B"/>
    <w:rsid w:val="00B24FAC"/>
    <w:rsid w:val="00B267F8"/>
    <w:rsid w:val="00B34EB6"/>
    <w:rsid w:val="00B366D4"/>
    <w:rsid w:val="00B42865"/>
    <w:rsid w:val="00B543BE"/>
    <w:rsid w:val="00B5679B"/>
    <w:rsid w:val="00B60518"/>
    <w:rsid w:val="00B6470A"/>
    <w:rsid w:val="00B64E22"/>
    <w:rsid w:val="00B65155"/>
    <w:rsid w:val="00B66BF2"/>
    <w:rsid w:val="00B700FA"/>
    <w:rsid w:val="00B70C2B"/>
    <w:rsid w:val="00B73909"/>
    <w:rsid w:val="00B73A52"/>
    <w:rsid w:val="00B76694"/>
    <w:rsid w:val="00B81134"/>
    <w:rsid w:val="00B83054"/>
    <w:rsid w:val="00B850B5"/>
    <w:rsid w:val="00B918F5"/>
    <w:rsid w:val="00B91F05"/>
    <w:rsid w:val="00B94A39"/>
    <w:rsid w:val="00BA730E"/>
    <w:rsid w:val="00BB0020"/>
    <w:rsid w:val="00BB1561"/>
    <w:rsid w:val="00BB2ABC"/>
    <w:rsid w:val="00BB2C00"/>
    <w:rsid w:val="00BB456E"/>
    <w:rsid w:val="00BD32F9"/>
    <w:rsid w:val="00BD3EAD"/>
    <w:rsid w:val="00BD4343"/>
    <w:rsid w:val="00BD5FF7"/>
    <w:rsid w:val="00BE084B"/>
    <w:rsid w:val="00BE235C"/>
    <w:rsid w:val="00BE2AA4"/>
    <w:rsid w:val="00BE2BF2"/>
    <w:rsid w:val="00BE7DC3"/>
    <w:rsid w:val="00BF08CE"/>
    <w:rsid w:val="00BF30B9"/>
    <w:rsid w:val="00BF4A24"/>
    <w:rsid w:val="00BF4CE7"/>
    <w:rsid w:val="00C010DD"/>
    <w:rsid w:val="00C011B4"/>
    <w:rsid w:val="00C059F2"/>
    <w:rsid w:val="00C069F9"/>
    <w:rsid w:val="00C12D9C"/>
    <w:rsid w:val="00C136A2"/>
    <w:rsid w:val="00C14999"/>
    <w:rsid w:val="00C14A89"/>
    <w:rsid w:val="00C204E5"/>
    <w:rsid w:val="00C211AD"/>
    <w:rsid w:val="00C2721D"/>
    <w:rsid w:val="00C30268"/>
    <w:rsid w:val="00C33690"/>
    <w:rsid w:val="00C33F2B"/>
    <w:rsid w:val="00C44098"/>
    <w:rsid w:val="00C61079"/>
    <w:rsid w:val="00C617E8"/>
    <w:rsid w:val="00C63661"/>
    <w:rsid w:val="00C63A02"/>
    <w:rsid w:val="00C666F0"/>
    <w:rsid w:val="00C72806"/>
    <w:rsid w:val="00C73FAF"/>
    <w:rsid w:val="00C777C8"/>
    <w:rsid w:val="00C779ED"/>
    <w:rsid w:val="00C824A6"/>
    <w:rsid w:val="00C85123"/>
    <w:rsid w:val="00C85EB0"/>
    <w:rsid w:val="00C86205"/>
    <w:rsid w:val="00C918D7"/>
    <w:rsid w:val="00C936A5"/>
    <w:rsid w:val="00C97528"/>
    <w:rsid w:val="00CA5407"/>
    <w:rsid w:val="00CA54EC"/>
    <w:rsid w:val="00CB027A"/>
    <w:rsid w:val="00CB34B4"/>
    <w:rsid w:val="00CB62EB"/>
    <w:rsid w:val="00CC038E"/>
    <w:rsid w:val="00CC36A7"/>
    <w:rsid w:val="00CC381D"/>
    <w:rsid w:val="00CD1E3A"/>
    <w:rsid w:val="00CD2569"/>
    <w:rsid w:val="00CD48E4"/>
    <w:rsid w:val="00CE037A"/>
    <w:rsid w:val="00CE7704"/>
    <w:rsid w:val="00CF112B"/>
    <w:rsid w:val="00CF1E72"/>
    <w:rsid w:val="00CF55D7"/>
    <w:rsid w:val="00CF6A28"/>
    <w:rsid w:val="00CF7255"/>
    <w:rsid w:val="00CF7B93"/>
    <w:rsid w:val="00D03496"/>
    <w:rsid w:val="00D06388"/>
    <w:rsid w:val="00D0645E"/>
    <w:rsid w:val="00D064C2"/>
    <w:rsid w:val="00D067D1"/>
    <w:rsid w:val="00D07BA7"/>
    <w:rsid w:val="00D12EBA"/>
    <w:rsid w:val="00D20A61"/>
    <w:rsid w:val="00D22A58"/>
    <w:rsid w:val="00D258DE"/>
    <w:rsid w:val="00D27DA1"/>
    <w:rsid w:val="00D31F92"/>
    <w:rsid w:val="00D35E17"/>
    <w:rsid w:val="00D373C0"/>
    <w:rsid w:val="00D45752"/>
    <w:rsid w:val="00D467E6"/>
    <w:rsid w:val="00D46AFF"/>
    <w:rsid w:val="00D47549"/>
    <w:rsid w:val="00D55AEC"/>
    <w:rsid w:val="00D60C46"/>
    <w:rsid w:val="00D61EE8"/>
    <w:rsid w:val="00D646EE"/>
    <w:rsid w:val="00D66B5E"/>
    <w:rsid w:val="00D71063"/>
    <w:rsid w:val="00D715A5"/>
    <w:rsid w:val="00D723CC"/>
    <w:rsid w:val="00D747B4"/>
    <w:rsid w:val="00D96FE5"/>
    <w:rsid w:val="00DA1E72"/>
    <w:rsid w:val="00DB1886"/>
    <w:rsid w:val="00DB1A28"/>
    <w:rsid w:val="00DB2DC5"/>
    <w:rsid w:val="00DC4780"/>
    <w:rsid w:val="00DD1C8E"/>
    <w:rsid w:val="00DD6845"/>
    <w:rsid w:val="00DD7500"/>
    <w:rsid w:val="00DE165D"/>
    <w:rsid w:val="00DF1F46"/>
    <w:rsid w:val="00DF273A"/>
    <w:rsid w:val="00E0256F"/>
    <w:rsid w:val="00E060B8"/>
    <w:rsid w:val="00E14C56"/>
    <w:rsid w:val="00E25A90"/>
    <w:rsid w:val="00E35876"/>
    <w:rsid w:val="00E41634"/>
    <w:rsid w:val="00E42301"/>
    <w:rsid w:val="00E44F9F"/>
    <w:rsid w:val="00E46D28"/>
    <w:rsid w:val="00E500BC"/>
    <w:rsid w:val="00E52993"/>
    <w:rsid w:val="00E55367"/>
    <w:rsid w:val="00E60760"/>
    <w:rsid w:val="00E64B37"/>
    <w:rsid w:val="00E67F87"/>
    <w:rsid w:val="00E71F2D"/>
    <w:rsid w:val="00E74411"/>
    <w:rsid w:val="00E7753F"/>
    <w:rsid w:val="00E81A84"/>
    <w:rsid w:val="00E8465A"/>
    <w:rsid w:val="00E87821"/>
    <w:rsid w:val="00E90E43"/>
    <w:rsid w:val="00E91C66"/>
    <w:rsid w:val="00E927C5"/>
    <w:rsid w:val="00E96F71"/>
    <w:rsid w:val="00EA0CFA"/>
    <w:rsid w:val="00EA13C4"/>
    <w:rsid w:val="00EC013D"/>
    <w:rsid w:val="00EC09F8"/>
    <w:rsid w:val="00EC0F24"/>
    <w:rsid w:val="00EC6517"/>
    <w:rsid w:val="00ED09AB"/>
    <w:rsid w:val="00ED60AD"/>
    <w:rsid w:val="00ED766F"/>
    <w:rsid w:val="00EE17DF"/>
    <w:rsid w:val="00EE1DF2"/>
    <w:rsid w:val="00EE397C"/>
    <w:rsid w:val="00EE6C3B"/>
    <w:rsid w:val="00EF2188"/>
    <w:rsid w:val="00EF7033"/>
    <w:rsid w:val="00EF7773"/>
    <w:rsid w:val="00F12DF3"/>
    <w:rsid w:val="00F155CB"/>
    <w:rsid w:val="00F16B8B"/>
    <w:rsid w:val="00F16D96"/>
    <w:rsid w:val="00F212AE"/>
    <w:rsid w:val="00F21EE9"/>
    <w:rsid w:val="00F2263D"/>
    <w:rsid w:val="00F23598"/>
    <w:rsid w:val="00F24D96"/>
    <w:rsid w:val="00F40181"/>
    <w:rsid w:val="00F43C80"/>
    <w:rsid w:val="00F45736"/>
    <w:rsid w:val="00F45C7C"/>
    <w:rsid w:val="00F50BC0"/>
    <w:rsid w:val="00F51631"/>
    <w:rsid w:val="00F829EB"/>
    <w:rsid w:val="00F831D0"/>
    <w:rsid w:val="00F83C2B"/>
    <w:rsid w:val="00F844F4"/>
    <w:rsid w:val="00F84A64"/>
    <w:rsid w:val="00F90FE9"/>
    <w:rsid w:val="00F917FB"/>
    <w:rsid w:val="00FA031C"/>
    <w:rsid w:val="00FA320F"/>
    <w:rsid w:val="00FA3B1D"/>
    <w:rsid w:val="00FA69EE"/>
    <w:rsid w:val="00FA725A"/>
    <w:rsid w:val="00FB445C"/>
    <w:rsid w:val="00FB4EA5"/>
    <w:rsid w:val="00FB5269"/>
    <w:rsid w:val="00FC5723"/>
    <w:rsid w:val="00FC7F1F"/>
    <w:rsid w:val="00FD40C8"/>
    <w:rsid w:val="00FD4EFD"/>
    <w:rsid w:val="00FE49E1"/>
    <w:rsid w:val="00FE6CDA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1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0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041"/>
    <w:rPr>
      <w:sz w:val="18"/>
      <w:szCs w:val="18"/>
    </w:rPr>
  </w:style>
  <w:style w:type="paragraph" w:styleId="3">
    <w:name w:val="Body Text Indent 3"/>
    <w:basedOn w:val="a"/>
    <w:link w:val="3Char"/>
    <w:rsid w:val="00195041"/>
    <w:pPr>
      <w:spacing w:after="120" w:line="240" w:lineRule="auto"/>
      <w:ind w:leftChars="200" w:left="420"/>
    </w:pPr>
    <w:rPr>
      <w:rFonts w:ascii="Times New Roman" w:hAnsi="Times New Roman"/>
      <w:kern w:val="0"/>
      <w:sz w:val="16"/>
      <w:szCs w:val="16"/>
    </w:rPr>
  </w:style>
  <w:style w:type="character" w:customStyle="1" w:styleId="3Char">
    <w:name w:val="正文文本缩进 3 Char"/>
    <w:basedOn w:val="a0"/>
    <w:link w:val="3"/>
    <w:rsid w:val="00195041"/>
    <w:rPr>
      <w:rFonts w:ascii="Times New Roman" w:eastAsia="宋体" w:hAnsi="Times New Roman" w:cs="Times New Roman"/>
      <w:kern w:val="0"/>
      <w:sz w:val="16"/>
      <w:szCs w:val="16"/>
    </w:rPr>
  </w:style>
  <w:style w:type="paragraph" w:styleId="a5">
    <w:name w:val="List Paragraph"/>
    <w:basedOn w:val="a"/>
    <w:uiPriority w:val="34"/>
    <w:qFormat/>
    <w:rsid w:val="00195041"/>
    <w:pPr>
      <w:ind w:firstLineChars="200" w:firstLine="420"/>
    </w:pPr>
  </w:style>
  <w:style w:type="paragraph" w:customStyle="1" w:styleId="GB2312TimesNewRoman2">
    <w:name w:val="样式 样式 仿宋_GB2312 + Times New Roman 首行缩进:  2 字符"/>
    <w:basedOn w:val="a"/>
    <w:rsid w:val="00195041"/>
    <w:pPr>
      <w:spacing w:line="240" w:lineRule="auto"/>
      <w:ind w:firstLineChars="200" w:firstLine="640"/>
    </w:pPr>
    <w:rPr>
      <w:rFonts w:ascii="Times New Roman" w:eastAsia="仿宋_GB2312" w:hAnsi="Times New Roman" w:cs="宋体"/>
      <w:sz w:val="32"/>
      <w:szCs w:val="20"/>
    </w:rPr>
  </w:style>
  <w:style w:type="paragraph" w:styleId="a6">
    <w:name w:val="Body Text"/>
    <w:basedOn w:val="a"/>
    <w:link w:val="Char1"/>
    <w:uiPriority w:val="99"/>
    <w:semiHidden/>
    <w:unhideWhenUsed/>
    <w:rsid w:val="00195041"/>
    <w:pPr>
      <w:spacing w:after="120"/>
    </w:pPr>
  </w:style>
  <w:style w:type="character" w:customStyle="1" w:styleId="Char1">
    <w:name w:val="正文文本 Char"/>
    <w:basedOn w:val="a0"/>
    <w:link w:val="a6"/>
    <w:rsid w:val="0019504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432</Words>
  <Characters>2469</Characters>
  <Application>Microsoft Office Word</Application>
  <DocSecurity>0</DocSecurity>
  <Lines>20</Lines>
  <Paragraphs>5</Paragraphs>
  <ScaleCrop>false</ScaleCrop>
  <Company>Lenovo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2021-10-13T01:28:00Z</dcterms:created>
  <dcterms:modified xsi:type="dcterms:W3CDTF">2021-10-13T01:54:00Z</dcterms:modified>
</cp:coreProperties>
</file>