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94" w:rsidRDefault="00004A94" w:rsidP="00004A94">
      <w:pPr>
        <w:pStyle w:val="a5"/>
        <w:rPr>
          <w:rFonts w:hint="eastAsia"/>
        </w:rPr>
      </w:pPr>
      <w:r>
        <w:t>20</w:t>
      </w:r>
      <w:r>
        <w:rPr>
          <w:rFonts w:hint="eastAsia"/>
        </w:rPr>
        <w:t>20</w:t>
      </w:r>
      <w:r w:rsidRPr="00BC70EC">
        <w:rPr>
          <w:rFonts w:hint="eastAsia"/>
        </w:rPr>
        <w:t>年度全国饮</w:t>
      </w:r>
      <w:r>
        <w:rPr>
          <w:rFonts w:hint="eastAsia"/>
        </w:rPr>
        <w:t>水</w:t>
      </w:r>
      <w:r w:rsidRPr="00BC70EC">
        <w:rPr>
          <w:rFonts w:hint="eastAsia"/>
        </w:rPr>
        <w:t>型地方性氟中毒监测报告</w:t>
      </w:r>
      <w:r>
        <w:rPr>
          <w:rFonts w:hint="eastAsia"/>
        </w:rPr>
        <w:t>（摘要）</w:t>
      </w:r>
    </w:p>
    <w:p w:rsidR="00004A94" w:rsidRDefault="00004A94" w:rsidP="00004A94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Ansi="宋体" w:hint="eastAsia"/>
          <w:bCs/>
          <w:sz w:val="24"/>
          <w:szCs w:val="24"/>
        </w:rPr>
      </w:pPr>
    </w:p>
    <w:p w:rsidR="00004A94" w:rsidRDefault="00004A94" w:rsidP="00004A94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int="eastAsia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为全面落实《地方病防治专项三年攻坚行动方案（</w:t>
      </w:r>
      <w:r>
        <w:rPr>
          <w:rFonts w:hAnsi="宋体" w:hint="eastAsia"/>
          <w:bCs/>
          <w:sz w:val="24"/>
          <w:szCs w:val="24"/>
        </w:rPr>
        <w:t>2018</w:t>
      </w:r>
      <w:r>
        <w:rPr>
          <w:rFonts w:hAnsi="宋体" w:hint="eastAsia"/>
          <w:bCs/>
          <w:sz w:val="24"/>
          <w:szCs w:val="24"/>
        </w:rPr>
        <w:t>—</w:t>
      </w:r>
      <w:r>
        <w:rPr>
          <w:rFonts w:hAnsi="宋体" w:hint="eastAsia"/>
          <w:bCs/>
          <w:sz w:val="24"/>
          <w:szCs w:val="24"/>
        </w:rPr>
        <w:t>2020</w:t>
      </w:r>
      <w:r>
        <w:rPr>
          <w:rFonts w:hAnsi="宋体" w:hint="eastAsia"/>
          <w:bCs/>
          <w:sz w:val="24"/>
          <w:szCs w:val="24"/>
        </w:rPr>
        <w:t>年）》（国卫疾控发〔</w:t>
      </w:r>
      <w:r>
        <w:rPr>
          <w:rFonts w:hAnsi="宋体" w:hint="eastAsia"/>
          <w:bCs/>
          <w:sz w:val="24"/>
          <w:szCs w:val="24"/>
        </w:rPr>
        <w:t>2018</w:t>
      </w:r>
      <w:r>
        <w:rPr>
          <w:rFonts w:hAnsi="宋体" w:hint="eastAsia"/>
          <w:bCs/>
          <w:sz w:val="24"/>
          <w:szCs w:val="24"/>
        </w:rPr>
        <w:t>〕</w:t>
      </w:r>
      <w:r>
        <w:rPr>
          <w:rFonts w:hAnsi="宋体" w:hint="eastAsia"/>
          <w:bCs/>
          <w:sz w:val="24"/>
          <w:szCs w:val="24"/>
        </w:rPr>
        <w:t>47</w:t>
      </w:r>
      <w:r>
        <w:rPr>
          <w:rFonts w:hAnsi="宋体" w:hint="eastAsia"/>
          <w:bCs/>
          <w:sz w:val="24"/>
          <w:szCs w:val="24"/>
        </w:rPr>
        <w:t>号）疾病</w:t>
      </w:r>
      <w:proofErr w:type="gramStart"/>
      <w:r>
        <w:rPr>
          <w:rFonts w:hAnsi="宋体" w:hint="eastAsia"/>
          <w:bCs/>
          <w:sz w:val="24"/>
          <w:szCs w:val="24"/>
        </w:rPr>
        <w:t>监测全</w:t>
      </w:r>
      <w:proofErr w:type="gramEnd"/>
      <w:r>
        <w:rPr>
          <w:rFonts w:hAnsi="宋体" w:hint="eastAsia"/>
          <w:bCs/>
          <w:sz w:val="24"/>
          <w:szCs w:val="24"/>
        </w:rPr>
        <w:t>覆盖行动，按照国家印发饮水型地方性氟中毒监测方案（</w:t>
      </w:r>
      <w:r>
        <w:rPr>
          <w:rFonts w:hAnsi="宋体" w:hint="eastAsia"/>
          <w:bCs/>
          <w:sz w:val="24"/>
          <w:szCs w:val="24"/>
        </w:rPr>
        <w:t>2019</w:t>
      </w:r>
      <w:r>
        <w:rPr>
          <w:rFonts w:hAnsi="宋体" w:hint="eastAsia"/>
          <w:bCs/>
          <w:sz w:val="24"/>
          <w:szCs w:val="24"/>
        </w:rPr>
        <w:t>年版）要求，</w:t>
      </w:r>
      <w:r>
        <w:rPr>
          <w:rFonts w:ascii="宋体" w:hAnsi="宋体"/>
          <w:bCs/>
          <w:sz w:val="24"/>
        </w:rPr>
        <w:t>全国</w:t>
      </w:r>
      <w:r>
        <w:rPr>
          <w:bCs/>
          <w:sz w:val="24"/>
        </w:rPr>
        <w:t>27</w:t>
      </w:r>
      <w:r>
        <w:rPr>
          <w:rFonts w:ascii="宋体" w:hAnsi="宋体"/>
          <w:bCs/>
          <w:sz w:val="24"/>
        </w:rPr>
        <w:t>个省（自治区、直辖市）</w:t>
      </w:r>
      <w:r>
        <w:rPr>
          <w:rFonts w:hAnsi="宋体" w:hint="eastAsia"/>
          <w:bCs/>
          <w:sz w:val="24"/>
          <w:szCs w:val="24"/>
        </w:rPr>
        <w:t>于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Ansi="宋体"/>
          <w:sz w:val="24"/>
          <w:szCs w:val="24"/>
        </w:rPr>
        <w:t>月至</w:t>
      </w:r>
      <w:r>
        <w:rPr>
          <w:sz w:val="24"/>
          <w:szCs w:val="24"/>
        </w:rPr>
        <w:t>2020</w:t>
      </w:r>
      <w:r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Ansi="宋体"/>
          <w:sz w:val="24"/>
          <w:szCs w:val="24"/>
        </w:rPr>
        <w:t>月组织开展了</w:t>
      </w:r>
      <w:r>
        <w:rPr>
          <w:rFonts w:hAnsi="宋体" w:hint="eastAsia"/>
          <w:bCs/>
          <w:sz w:val="24"/>
          <w:szCs w:val="24"/>
        </w:rPr>
        <w:t>全覆盖监测工作，现将结果报告如下。</w:t>
      </w:r>
    </w:p>
    <w:p w:rsidR="00004A94" w:rsidRPr="00E43F59" w:rsidRDefault="00004A94" w:rsidP="00004A94">
      <w:pPr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一、监测</w:t>
      </w:r>
      <w:r>
        <w:rPr>
          <w:rFonts w:ascii="宋体" w:hAnsi="宋体" w:hint="eastAsia"/>
          <w:b/>
          <w:sz w:val="24"/>
        </w:rPr>
        <w:t>范围与</w:t>
      </w:r>
      <w:r>
        <w:rPr>
          <w:rFonts w:ascii="宋体" w:hAnsi="宋体"/>
          <w:b/>
          <w:sz w:val="24"/>
        </w:rPr>
        <w:t>内容</w:t>
      </w:r>
    </w:p>
    <w:p w:rsidR="00ED09AB" w:rsidRDefault="00004A94" w:rsidP="00004A94">
      <w:pPr>
        <w:spacing w:line="360" w:lineRule="auto"/>
        <w:ind w:firstLineChars="200" w:firstLine="480"/>
        <w:rPr>
          <w:rFonts w:ascii="Times New Roman" w:eastAsia="宋体" w:hAnsi="宋体" w:cs="Times New Roman" w:hint="eastAsia"/>
          <w:bCs/>
          <w:kern w:val="0"/>
          <w:sz w:val="24"/>
          <w:szCs w:val="24"/>
        </w:rPr>
      </w:pP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范围包括全国除上海、海南、贵州、香港、澳门和台湾以外的</w:t>
      </w:r>
      <w:r w:rsidRPr="00004A94">
        <w:rPr>
          <w:rFonts w:ascii="Times New Roman" w:eastAsia="宋体" w:hAnsi="宋体" w:cs="Times New Roman"/>
          <w:bCs/>
          <w:kern w:val="0"/>
          <w:sz w:val="24"/>
          <w:szCs w:val="24"/>
        </w:rPr>
        <w:t>28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个省</w:t>
      </w:r>
      <w:r w:rsidRPr="00004A94">
        <w:rPr>
          <w:rFonts w:ascii="Times New Roman" w:eastAsia="宋体" w:hAnsi="宋体" w:cs="Times New Roman"/>
          <w:bCs/>
          <w:kern w:val="0"/>
          <w:sz w:val="24"/>
          <w:szCs w:val="24"/>
        </w:rPr>
        <w:t>(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区、市</w:t>
      </w:r>
      <w:r w:rsidRPr="00004A94">
        <w:rPr>
          <w:rFonts w:ascii="Times New Roman" w:eastAsia="宋体" w:hAnsi="宋体" w:cs="Times New Roman"/>
          <w:bCs/>
          <w:kern w:val="0"/>
          <w:sz w:val="24"/>
          <w:szCs w:val="24"/>
        </w:rPr>
        <w:t>)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和兵团的全部饮水型地方性氟中毒病区村。调查县、乡（镇）、村名称及代码、县人口数、</w:t>
      </w:r>
      <w:proofErr w:type="gramStart"/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病区村</w:t>
      </w:r>
      <w:proofErr w:type="gramEnd"/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常住户数、常住人口数等。调查改水村改水工程运行情况及水氟含量，检测未改水村饮水含氟量。检查</w:t>
      </w:r>
      <w:proofErr w:type="gramStart"/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病区村</w:t>
      </w:r>
      <w:proofErr w:type="gramEnd"/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当地出生并居住的</w:t>
      </w:r>
      <w:r w:rsidRPr="00004A94">
        <w:rPr>
          <w:rFonts w:ascii="Times New Roman" w:eastAsia="宋体" w:hAnsi="宋体" w:cs="Times New Roman"/>
          <w:bCs/>
          <w:kern w:val="0"/>
          <w:sz w:val="24"/>
          <w:szCs w:val="24"/>
        </w:rPr>
        <w:t>8</w:t>
      </w:r>
      <w:r w:rsidRPr="00004A94">
        <w:rPr>
          <w:rFonts w:ascii="Times New Roman" w:eastAsia="宋体" w:hAnsi="宋体" w:cs="Times New Roman"/>
          <w:bCs/>
          <w:kern w:val="0"/>
          <w:sz w:val="24"/>
          <w:szCs w:val="24"/>
        </w:rPr>
        <w:t>～</w:t>
      </w:r>
      <w:r w:rsidRPr="00004A94">
        <w:rPr>
          <w:rFonts w:ascii="Times New Roman" w:eastAsia="宋体" w:hAnsi="宋体" w:cs="Times New Roman"/>
          <w:bCs/>
          <w:kern w:val="0"/>
          <w:sz w:val="24"/>
          <w:szCs w:val="24"/>
        </w:rPr>
        <w:t>12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周岁儿童氟斑牙患病情况，检查率不低于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90%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。</w:t>
      </w:r>
    </w:p>
    <w:p w:rsidR="00004A94" w:rsidRPr="00E43F59" w:rsidRDefault="00004A94" w:rsidP="00004A94">
      <w:pPr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二、监测结果</w:t>
      </w:r>
    </w:p>
    <w:p w:rsidR="00004A94" w:rsidRPr="00E43F59" w:rsidRDefault="00004A94" w:rsidP="00004A94">
      <w:pPr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（一）改水工程运行及水氟含量监测结果</w:t>
      </w:r>
    </w:p>
    <w:p w:rsidR="00004A94" w:rsidRDefault="00004A94" w:rsidP="00004A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eastAsia="宋体" w:hAnsi="宋体" w:cs="Times New Roman" w:hint="eastAsia"/>
          <w:sz w:val="24"/>
          <w:szCs w:val="24"/>
        </w:rPr>
        <w:t>本年度在</w:t>
      </w:r>
      <w:r>
        <w:rPr>
          <w:rFonts w:eastAsia="宋体" w:hAnsi="宋体" w:cs="Times New Roman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7</w:t>
      </w:r>
      <w:r>
        <w:rPr>
          <w:rFonts w:eastAsia="宋体" w:hAnsi="宋体" w:cs="Times New Roman"/>
          <w:sz w:val="24"/>
          <w:szCs w:val="24"/>
        </w:rPr>
        <w:t>个省共监测了</w:t>
      </w:r>
      <w:r>
        <w:rPr>
          <w:rFonts w:eastAsia="宋体" w:hAnsi="宋体" w:cs="Times New Roman" w:hint="eastAsia"/>
          <w:sz w:val="24"/>
          <w:szCs w:val="24"/>
        </w:rPr>
        <w:t>73661</w:t>
      </w:r>
      <w:r>
        <w:rPr>
          <w:rFonts w:eastAsia="宋体" w:hAnsi="宋体" w:cs="Times New Roman"/>
          <w:sz w:val="24"/>
          <w:szCs w:val="24"/>
        </w:rPr>
        <w:t>个</w:t>
      </w:r>
      <w:r>
        <w:rPr>
          <w:rFonts w:eastAsia="宋体" w:hAnsi="宋体" w:cs="Times New Roman" w:hint="eastAsia"/>
          <w:sz w:val="24"/>
          <w:szCs w:val="24"/>
        </w:rPr>
        <w:t>病区</w:t>
      </w:r>
      <w:r>
        <w:rPr>
          <w:rFonts w:eastAsia="宋体" w:hAnsi="宋体" w:cs="Times New Roman"/>
          <w:sz w:val="24"/>
          <w:szCs w:val="24"/>
        </w:rPr>
        <w:t>村，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人口</w:t>
      </w:r>
      <w:r>
        <w:rPr>
          <w:rFonts w:eastAsia="宋体" w:hAnsi="宋体" w:cs="Times New Roman" w:hint="eastAsia"/>
          <w:sz w:val="24"/>
          <w:szCs w:val="24"/>
        </w:rPr>
        <w:t>6280.19</w:t>
      </w:r>
      <w:r>
        <w:rPr>
          <w:rFonts w:eastAsia="宋体" w:hAnsi="宋体" w:cs="Times New Roman" w:hint="eastAsia"/>
          <w:sz w:val="24"/>
          <w:szCs w:val="24"/>
        </w:rPr>
        <w:t>万人。</w:t>
      </w:r>
      <w:r>
        <w:rPr>
          <w:rFonts w:eastAsia="宋体" w:hAnsi="宋体" w:cs="Times New Roman"/>
          <w:sz w:val="24"/>
          <w:szCs w:val="24"/>
        </w:rPr>
        <w:t>其中已改水村数</w:t>
      </w:r>
      <w:r>
        <w:rPr>
          <w:rFonts w:eastAsia="宋体" w:hAnsi="宋体" w:cs="Times New Roman" w:hint="eastAsia"/>
          <w:sz w:val="24"/>
          <w:szCs w:val="24"/>
        </w:rPr>
        <w:t>72553</w:t>
      </w:r>
      <w:r>
        <w:rPr>
          <w:rFonts w:eastAsia="宋体" w:hAnsi="宋体" w:cs="Times New Roman"/>
          <w:sz w:val="24"/>
          <w:szCs w:val="24"/>
        </w:rPr>
        <w:t>个，占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总</w:t>
      </w:r>
      <w:r>
        <w:rPr>
          <w:rFonts w:eastAsia="宋体" w:hAnsi="宋体" w:cs="Times New Roman"/>
          <w:sz w:val="24"/>
          <w:szCs w:val="24"/>
        </w:rPr>
        <w:t>数的</w:t>
      </w:r>
      <w:r>
        <w:rPr>
          <w:rFonts w:eastAsia="宋体" w:hAnsi="宋体" w:cs="Times New Roman" w:hint="eastAsia"/>
          <w:sz w:val="24"/>
          <w:szCs w:val="24"/>
        </w:rPr>
        <w:t>98.5</w:t>
      </w:r>
      <w:r>
        <w:rPr>
          <w:rFonts w:eastAsia="宋体" w:hAnsi="宋体" w:cs="Times New Roman"/>
          <w:sz w:val="24"/>
          <w:szCs w:val="24"/>
        </w:rPr>
        <w:t>％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北京、</w:t>
      </w:r>
      <w:r>
        <w:rPr>
          <w:rFonts w:eastAsia="宋体" w:hAnsi="宋体" w:cs="Times New Roman" w:hint="eastAsia"/>
          <w:sz w:val="24"/>
          <w:szCs w:val="24"/>
        </w:rPr>
        <w:t>山西、吉林、江苏、</w:t>
      </w:r>
      <w:r>
        <w:rPr>
          <w:rFonts w:eastAsia="宋体" w:hAnsi="宋体" w:cs="Times New Roman"/>
          <w:sz w:val="24"/>
          <w:szCs w:val="24"/>
        </w:rPr>
        <w:t>浙江、</w:t>
      </w:r>
      <w:r>
        <w:rPr>
          <w:rFonts w:eastAsia="宋体" w:hAnsi="宋体" w:cs="Times New Roman" w:hint="eastAsia"/>
          <w:sz w:val="24"/>
          <w:szCs w:val="24"/>
        </w:rPr>
        <w:t>安徽、</w:t>
      </w:r>
      <w:r>
        <w:rPr>
          <w:rFonts w:eastAsia="宋体" w:hAnsi="宋体" w:cs="Times New Roman"/>
          <w:sz w:val="24"/>
          <w:szCs w:val="24"/>
        </w:rPr>
        <w:t>福建、</w:t>
      </w:r>
      <w:r>
        <w:rPr>
          <w:rFonts w:eastAsia="宋体" w:hAnsi="宋体" w:cs="Times New Roman" w:hint="eastAsia"/>
          <w:sz w:val="24"/>
          <w:szCs w:val="24"/>
        </w:rPr>
        <w:t>江西、</w:t>
      </w:r>
      <w:r>
        <w:rPr>
          <w:rFonts w:eastAsia="宋体" w:hAnsi="宋体" w:cs="Times New Roman"/>
          <w:sz w:val="24"/>
          <w:szCs w:val="24"/>
        </w:rPr>
        <w:t>湖北、湖南、广东、</w:t>
      </w:r>
      <w:r>
        <w:rPr>
          <w:rFonts w:eastAsia="宋体" w:hAnsi="宋体" w:cs="Times New Roman" w:hint="eastAsia"/>
          <w:sz w:val="24"/>
          <w:szCs w:val="24"/>
        </w:rPr>
        <w:t>广西、重庆、四川、云南、甘肃、青海、宁夏和新疆等</w:t>
      </w:r>
      <w:r>
        <w:rPr>
          <w:rFonts w:eastAsia="宋体" w:hAnsi="宋体" w:cs="Times New Roman" w:hint="eastAsia"/>
          <w:sz w:val="24"/>
          <w:szCs w:val="24"/>
        </w:rPr>
        <w:t>19</w:t>
      </w:r>
      <w:r>
        <w:rPr>
          <w:rFonts w:eastAsia="宋体" w:hAnsi="宋体" w:cs="Times New Roman" w:hint="eastAsia"/>
          <w:sz w:val="24"/>
          <w:szCs w:val="24"/>
        </w:rPr>
        <w:t>个省改水率为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改水率在</w:t>
      </w:r>
      <w:r>
        <w:rPr>
          <w:rFonts w:eastAsia="宋体" w:hAnsi="宋体" w:cs="Times New Roman"/>
          <w:sz w:val="24"/>
          <w:szCs w:val="24"/>
        </w:rPr>
        <w:t>90-100%</w:t>
      </w:r>
      <w:r>
        <w:rPr>
          <w:rFonts w:eastAsia="宋体" w:hAnsi="宋体" w:cs="Times New Roman"/>
          <w:sz w:val="24"/>
          <w:szCs w:val="24"/>
        </w:rPr>
        <w:t>的有</w:t>
      </w:r>
      <w:r>
        <w:rPr>
          <w:rFonts w:eastAsia="宋体" w:hAnsi="宋体" w:cs="Times New Roman" w:hint="eastAsia"/>
          <w:sz w:val="24"/>
          <w:szCs w:val="24"/>
        </w:rPr>
        <w:t>8</w:t>
      </w:r>
      <w:r>
        <w:rPr>
          <w:rFonts w:eastAsia="宋体" w:hAnsi="宋体" w:cs="Times New Roman"/>
          <w:sz w:val="24"/>
          <w:szCs w:val="24"/>
        </w:rPr>
        <w:t>个省，分别是</w:t>
      </w:r>
      <w:r>
        <w:rPr>
          <w:rFonts w:eastAsia="宋体" w:hAnsi="宋体" w:cs="Times New Roman" w:hint="eastAsia"/>
          <w:sz w:val="24"/>
          <w:szCs w:val="24"/>
        </w:rPr>
        <w:t>山东（</w:t>
      </w:r>
      <w:r>
        <w:rPr>
          <w:rFonts w:eastAsia="宋体" w:hAnsi="宋体" w:cs="Times New Roman" w:hint="eastAsia"/>
          <w:sz w:val="24"/>
          <w:szCs w:val="24"/>
        </w:rPr>
        <w:t>99.94%</w:t>
      </w:r>
      <w:r>
        <w:rPr>
          <w:rFonts w:eastAsia="宋体" w:hAnsi="宋体" w:cs="Times New Roman" w:hint="eastAsia"/>
          <w:sz w:val="24"/>
          <w:szCs w:val="24"/>
        </w:rPr>
        <w:t>）、河南（</w:t>
      </w:r>
      <w:r>
        <w:rPr>
          <w:rFonts w:eastAsia="宋体" w:hAnsi="宋体" w:cs="Times New Roman" w:hint="eastAsia"/>
          <w:sz w:val="24"/>
          <w:szCs w:val="24"/>
        </w:rPr>
        <w:t>99.94%</w:t>
      </w:r>
      <w:r>
        <w:rPr>
          <w:rFonts w:eastAsia="宋体" w:hAnsi="宋体" w:cs="Times New Roman" w:hint="eastAsia"/>
          <w:sz w:val="24"/>
          <w:szCs w:val="24"/>
        </w:rPr>
        <w:t>）、河北（</w:t>
      </w:r>
      <w:r>
        <w:rPr>
          <w:rFonts w:eastAsia="宋体" w:hAnsi="宋体" w:cs="Times New Roman" w:hint="eastAsia"/>
          <w:sz w:val="24"/>
          <w:szCs w:val="24"/>
        </w:rPr>
        <w:t>99.48%</w:t>
      </w:r>
      <w:r>
        <w:rPr>
          <w:rFonts w:eastAsia="宋体" w:hAnsi="宋体" w:cs="Times New Roman" w:hint="eastAsia"/>
          <w:sz w:val="24"/>
          <w:szCs w:val="24"/>
        </w:rPr>
        <w:t>）、天津（</w:t>
      </w:r>
      <w:r>
        <w:rPr>
          <w:rFonts w:eastAsia="宋体" w:hAnsi="宋体" w:cs="Times New Roman" w:hint="eastAsia"/>
          <w:sz w:val="24"/>
          <w:szCs w:val="24"/>
        </w:rPr>
        <w:t>99.90%</w:t>
      </w:r>
      <w:r>
        <w:rPr>
          <w:rFonts w:eastAsia="宋体" w:hAnsi="宋体" w:cs="Times New Roman" w:hint="eastAsia"/>
          <w:sz w:val="24"/>
          <w:szCs w:val="24"/>
        </w:rPr>
        <w:t>）、黑龙江（</w:t>
      </w:r>
      <w:r>
        <w:rPr>
          <w:rFonts w:eastAsia="宋体" w:hAnsi="宋体" w:cs="Times New Roman" w:hint="eastAsia"/>
          <w:sz w:val="24"/>
          <w:szCs w:val="24"/>
        </w:rPr>
        <w:t>99.90%</w:t>
      </w:r>
      <w:r>
        <w:rPr>
          <w:rFonts w:eastAsia="宋体" w:hAnsi="宋体" w:cs="Times New Roman" w:hint="eastAsia"/>
          <w:sz w:val="24"/>
          <w:szCs w:val="24"/>
        </w:rPr>
        <w:t>）、陕西（</w:t>
      </w:r>
      <w:r>
        <w:rPr>
          <w:rFonts w:eastAsia="宋体" w:hAnsi="宋体" w:cs="Times New Roman" w:hint="eastAsia"/>
          <w:sz w:val="24"/>
          <w:szCs w:val="24"/>
        </w:rPr>
        <w:t>97.87%</w:t>
      </w:r>
      <w:r>
        <w:rPr>
          <w:rFonts w:eastAsia="宋体" w:hAnsi="宋体" w:cs="Times New Roman" w:hint="eastAsia"/>
          <w:sz w:val="24"/>
          <w:szCs w:val="24"/>
        </w:rPr>
        <w:t>）、辽宁（</w:t>
      </w:r>
      <w:r>
        <w:rPr>
          <w:rFonts w:eastAsia="宋体" w:hAnsi="宋体" w:cs="Times New Roman" w:hint="eastAsia"/>
          <w:sz w:val="24"/>
          <w:szCs w:val="24"/>
        </w:rPr>
        <w:t>94.67%</w:t>
      </w:r>
      <w:r>
        <w:rPr>
          <w:rFonts w:eastAsia="宋体" w:hAnsi="宋体" w:cs="Times New Roman" w:hint="eastAsia"/>
          <w:sz w:val="24"/>
          <w:szCs w:val="24"/>
        </w:rPr>
        <w:t>）和内蒙古（</w:t>
      </w:r>
      <w:r>
        <w:rPr>
          <w:rFonts w:eastAsia="宋体" w:hAnsi="宋体" w:cs="Times New Roman" w:hint="eastAsia"/>
          <w:sz w:val="24"/>
          <w:szCs w:val="24"/>
        </w:rPr>
        <w:t>91.23%</w:t>
      </w:r>
      <w:r>
        <w:rPr>
          <w:rFonts w:eastAsia="宋体" w:hAnsi="宋体" w:cs="Times New Roman" w:hint="eastAsia"/>
          <w:sz w:val="24"/>
          <w:szCs w:val="24"/>
        </w:rPr>
        <w:t>）。全国所有省份改水率均已达到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以上。</w:t>
      </w:r>
      <w:r>
        <w:rPr>
          <w:sz w:val="24"/>
        </w:rPr>
        <w:t>在</w:t>
      </w:r>
      <w:r>
        <w:rPr>
          <w:rFonts w:ascii="宋体" w:hAnsi="宋体"/>
          <w:sz w:val="24"/>
        </w:rPr>
        <w:t>72553个改水村中，</w:t>
      </w:r>
      <w:r>
        <w:rPr>
          <w:sz w:val="24"/>
        </w:rPr>
        <w:t>改水工程正常运转的村数</w:t>
      </w:r>
      <w:r>
        <w:rPr>
          <w:color w:val="000000"/>
          <w:sz w:val="24"/>
        </w:rPr>
        <w:t>71609</w:t>
      </w:r>
      <w:r>
        <w:rPr>
          <w:sz w:val="24"/>
        </w:rPr>
        <w:t>个，占改水村的</w:t>
      </w:r>
      <w:r>
        <w:rPr>
          <w:sz w:val="24"/>
        </w:rPr>
        <w:t>98.7</w:t>
      </w:r>
      <w:r>
        <w:rPr>
          <w:sz w:val="24"/>
        </w:rPr>
        <w:t>％；改水工程间歇运转的村数</w:t>
      </w:r>
      <w:r>
        <w:rPr>
          <w:sz w:val="24"/>
        </w:rPr>
        <w:t>352</w:t>
      </w:r>
      <w:r>
        <w:rPr>
          <w:sz w:val="24"/>
        </w:rPr>
        <w:t>个，占改水村的</w:t>
      </w:r>
      <w:r>
        <w:rPr>
          <w:sz w:val="24"/>
        </w:rPr>
        <w:t>0.49</w:t>
      </w:r>
      <w:r>
        <w:rPr>
          <w:sz w:val="24"/>
        </w:rPr>
        <w:t>％；改水工程报废的村数</w:t>
      </w:r>
      <w:r>
        <w:rPr>
          <w:sz w:val="24"/>
        </w:rPr>
        <w:t>592</w:t>
      </w:r>
      <w:r>
        <w:rPr>
          <w:sz w:val="24"/>
        </w:rPr>
        <w:t>个，占改水村的</w:t>
      </w:r>
      <w:r>
        <w:rPr>
          <w:sz w:val="24"/>
        </w:rPr>
        <w:t>0.82%</w:t>
      </w:r>
      <w:r>
        <w:rPr>
          <w:sz w:val="24"/>
        </w:rPr>
        <w:t>。北京、江苏、福建、江西、湖南、广东、重庆、四川、云南、青海、宁夏和新疆等</w:t>
      </w:r>
      <w:r>
        <w:rPr>
          <w:sz w:val="24"/>
        </w:rPr>
        <w:t>12</w:t>
      </w:r>
      <w:r>
        <w:rPr>
          <w:sz w:val="24"/>
        </w:rPr>
        <w:t>个省的改水工程正常运转率达到</w:t>
      </w:r>
      <w:r>
        <w:rPr>
          <w:sz w:val="24"/>
        </w:rPr>
        <w:t>100%</w:t>
      </w:r>
      <w:r>
        <w:rPr>
          <w:sz w:val="24"/>
        </w:rPr>
        <w:t>；天津、河北等</w:t>
      </w:r>
      <w:r>
        <w:rPr>
          <w:sz w:val="24"/>
        </w:rPr>
        <w:t>14</w:t>
      </w:r>
      <w:r>
        <w:rPr>
          <w:sz w:val="24"/>
        </w:rPr>
        <w:t>个省的改水工程正常运转率在</w:t>
      </w:r>
      <w:r>
        <w:rPr>
          <w:sz w:val="24"/>
        </w:rPr>
        <w:t>90%-100%</w:t>
      </w:r>
      <w:r>
        <w:rPr>
          <w:sz w:val="24"/>
        </w:rPr>
        <w:t>之间；改水工程正常运转率低于</w:t>
      </w:r>
      <w:r>
        <w:rPr>
          <w:sz w:val="24"/>
        </w:rPr>
        <w:t>90%</w:t>
      </w:r>
      <w:r>
        <w:rPr>
          <w:sz w:val="24"/>
        </w:rPr>
        <w:t>的省有</w:t>
      </w:r>
      <w:r>
        <w:rPr>
          <w:sz w:val="24"/>
        </w:rPr>
        <w:t>1</w:t>
      </w:r>
      <w:r>
        <w:rPr>
          <w:sz w:val="24"/>
        </w:rPr>
        <w:t>个，为辽宁（</w:t>
      </w:r>
      <w:r>
        <w:rPr>
          <w:sz w:val="24"/>
        </w:rPr>
        <w:t>89.34%</w:t>
      </w:r>
      <w:r>
        <w:rPr>
          <w:sz w:val="24"/>
        </w:rPr>
        <w:t>）；改水工程报废村数存在于天津、河北、内蒙古、辽宁、吉林、黑龙江、山东、河南、湖北、广西和陕西等</w:t>
      </w:r>
      <w:r>
        <w:rPr>
          <w:sz w:val="24"/>
        </w:rPr>
        <w:t>11</w:t>
      </w:r>
      <w:r>
        <w:rPr>
          <w:sz w:val="24"/>
        </w:rPr>
        <w:t>个省，村数较多的省有内蒙古（</w:t>
      </w:r>
      <w:r>
        <w:rPr>
          <w:sz w:val="24"/>
        </w:rPr>
        <w:t>278</w:t>
      </w:r>
      <w:r>
        <w:rPr>
          <w:sz w:val="24"/>
        </w:rPr>
        <w:t>个）、辽宁（</w:t>
      </w:r>
      <w:r>
        <w:rPr>
          <w:sz w:val="24"/>
        </w:rPr>
        <w:t>173</w:t>
      </w:r>
      <w:r>
        <w:rPr>
          <w:sz w:val="24"/>
        </w:rPr>
        <w:t>个）和河南（</w:t>
      </w:r>
      <w:r>
        <w:rPr>
          <w:sz w:val="24"/>
        </w:rPr>
        <w:t>114</w:t>
      </w:r>
      <w:r>
        <w:rPr>
          <w:sz w:val="24"/>
        </w:rPr>
        <w:t>个）。</w:t>
      </w:r>
    </w:p>
    <w:p w:rsidR="00004A94" w:rsidRDefault="00004A94" w:rsidP="00004A94">
      <w:pPr>
        <w:spacing w:line="360" w:lineRule="auto"/>
        <w:ind w:firstLineChars="200"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本年度共监测到</w:t>
      </w:r>
      <w:r>
        <w:rPr>
          <w:rFonts w:eastAsia="宋体" w:hAnsi="宋体" w:cs="Times New Roman" w:hint="eastAsia"/>
          <w:sz w:val="24"/>
          <w:szCs w:val="24"/>
        </w:rPr>
        <w:t>72553</w:t>
      </w:r>
      <w:r>
        <w:rPr>
          <w:rFonts w:eastAsia="宋体" w:hAnsi="宋体" w:cs="Times New Roman" w:hint="eastAsia"/>
          <w:sz w:val="24"/>
          <w:szCs w:val="24"/>
        </w:rPr>
        <w:t>个改水村，按照水氟含量</w:t>
      </w:r>
      <w:r>
        <w:rPr>
          <w:rFonts w:eastAsia="宋体" w:hAnsi="宋体" w:cs="Times New Roman" w:hint="eastAsia"/>
          <w:sz w:val="24"/>
          <w:szCs w:val="24"/>
        </w:rPr>
        <w:t>1.5mg/L</w:t>
      </w:r>
      <w:r>
        <w:rPr>
          <w:rFonts w:eastAsia="宋体" w:hAnsi="宋体" w:cs="Times New Roman" w:hint="eastAsia"/>
          <w:sz w:val="24"/>
          <w:szCs w:val="24"/>
        </w:rPr>
        <w:t>的标准判定，水氟</w:t>
      </w:r>
      <w:r>
        <w:rPr>
          <w:rFonts w:eastAsia="宋体" w:hAnsi="宋体" w:cs="Times New Roman" w:hint="eastAsia"/>
          <w:sz w:val="24"/>
          <w:szCs w:val="24"/>
        </w:rPr>
        <w:lastRenderedPageBreak/>
        <w:t>含量合格的村有</w:t>
      </w:r>
      <w:r>
        <w:rPr>
          <w:rFonts w:eastAsia="宋体" w:hAnsi="宋体" w:cs="Times New Roman" w:hint="eastAsia"/>
          <w:sz w:val="24"/>
          <w:szCs w:val="24"/>
        </w:rPr>
        <w:t>72284</w:t>
      </w:r>
      <w:r>
        <w:rPr>
          <w:rFonts w:eastAsia="宋体" w:hAnsi="宋体" w:cs="Times New Roman" w:hint="eastAsia"/>
          <w:sz w:val="24"/>
          <w:szCs w:val="24"/>
        </w:rPr>
        <w:t>个，水氟合格率为</w:t>
      </w:r>
      <w:r>
        <w:rPr>
          <w:rFonts w:eastAsia="宋体" w:hAnsi="宋体" w:cs="Times New Roman" w:hint="eastAsia"/>
          <w:sz w:val="24"/>
          <w:szCs w:val="24"/>
        </w:rPr>
        <w:t>99.63%</w:t>
      </w:r>
      <w:r>
        <w:rPr>
          <w:rFonts w:eastAsia="宋体" w:hAnsi="宋体" w:cs="Times New Roman" w:hint="eastAsia"/>
          <w:sz w:val="24"/>
          <w:szCs w:val="24"/>
        </w:rPr>
        <w:t>。其中，北京、江苏、浙江、安徽、福建、江西、湖北、湖南、广东、广西、重庆、云南、甘肃和宁夏等</w:t>
      </w:r>
      <w:r>
        <w:rPr>
          <w:rFonts w:eastAsia="宋体" w:hAnsi="宋体" w:cs="Times New Roman" w:hint="eastAsia"/>
          <w:sz w:val="24"/>
          <w:szCs w:val="24"/>
        </w:rPr>
        <w:t>14</w:t>
      </w:r>
      <w:r>
        <w:rPr>
          <w:rFonts w:eastAsia="宋体" w:hAnsi="宋体" w:cs="Times New Roman" w:hint="eastAsia"/>
          <w:sz w:val="24"/>
          <w:szCs w:val="24"/>
        </w:rPr>
        <w:t>个省水氟合格率为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；其他</w:t>
      </w:r>
      <w:r>
        <w:rPr>
          <w:rFonts w:eastAsia="宋体" w:hAnsi="宋体" w:cs="Times New Roman" w:hint="eastAsia"/>
          <w:sz w:val="24"/>
          <w:szCs w:val="24"/>
        </w:rPr>
        <w:t>13</w:t>
      </w:r>
      <w:r>
        <w:rPr>
          <w:rFonts w:eastAsia="宋体" w:hAnsi="宋体" w:cs="Times New Roman" w:hint="eastAsia"/>
          <w:sz w:val="24"/>
          <w:szCs w:val="24"/>
        </w:rPr>
        <w:t>个省水氟合格率均高于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。</w:t>
      </w:r>
    </w:p>
    <w:p w:rsidR="00004A94" w:rsidRDefault="00004A94" w:rsidP="00004A94">
      <w:pPr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/>
          <w:b/>
          <w:sz w:val="24"/>
        </w:rPr>
        <w:t>）氟斑牙病情监测结果</w:t>
      </w:r>
    </w:p>
    <w:p w:rsidR="00004A94" w:rsidRDefault="00004A94" w:rsidP="00004A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t>本年度共检查了</w:t>
      </w:r>
      <w:r>
        <w:rPr>
          <w:sz w:val="24"/>
        </w:rPr>
        <w:t>8-12</w:t>
      </w:r>
      <w:r>
        <w:rPr>
          <w:sz w:val="24"/>
        </w:rPr>
        <w:t>周岁儿童氟斑牙</w:t>
      </w:r>
      <w:r>
        <w:rPr>
          <w:sz w:val="24"/>
        </w:rPr>
        <w:t>20</w:t>
      </w:r>
      <w:r>
        <w:rPr>
          <w:rFonts w:hint="eastAsia"/>
          <w:sz w:val="24"/>
        </w:rPr>
        <w:t>19801</w:t>
      </w:r>
      <w:r>
        <w:rPr>
          <w:sz w:val="24"/>
        </w:rPr>
        <w:t>人，检出氟斑牙患者</w:t>
      </w:r>
      <w:r>
        <w:rPr>
          <w:sz w:val="24"/>
        </w:rPr>
        <w:t>274709</w:t>
      </w:r>
      <w:r>
        <w:rPr>
          <w:sz w:val="24"/>
        </w:rPr>
        <w:t>人，检出率为</w:t>
      </w:r>
      <w:r>
        <w:rPr>
          <w:sz w:val="24"/>
        </w:rPr>
        <w:t>13.</w:t>
      </w:r>
      <w:r>
        <w:rPr>
          <w:rFonts w:hint="eastAsia"/>
          <w:sz w:val="24"/>
        </w:rPr>
        <w:t>6</w:t>
      </w:r>
      <w:r>
        <w:rPr>
          <w:sz w:val="24"/>
        </w:rPr>
        <w:t>%</w:t>
      </w:r>
      <w:r>
        <w:rPr>
          <w:sz w:val="24"/>
        </w:rPr>
        <w:t>，氟斑</w:t>
      </w:r>
      <w:proofErr w:type="gramStart"/>
      <w:r>
        <w:rPr>
          <w:sz w:val="24"/>
        </w:rPr>
        <w:t>牙指数</w:t>
      </w:r>
      <w:proofErr w:type="gramEnd"/>
      <w:r>
        <w:rPr>
          <w:sz w:val="24"/>
        </w:rPr>
        <w:t>为</w:t>
      </w:r>
      <w:r>
        <w:rPr>
          <w:sz w:val="24"/>
        </w:rPr>
        <w:t>0.26</w:t>
      </w:r>
      <w:r>
        <w:rPr>
          <w:sz w:val="24"/>
        </w:rPr>
        <w:t>，流行强度为无氟斑牙流行。其中，可疑病例</w:t>
      </w:r>
      <w:r>
        <w:rPr>
          <w:sz w:val="24"/>
        </w:rPr>
        <w:t>192766</w:t>
      </w:r>
      <w:r>
        <w:rPr>
          <w:sz w:val="24"/>
        </w:rPr>
        <w:t>例，占全部受检儿童的</w:t>
      </w:r>
      <w:r>
        <w:rPr>
          <w:sz w:val="24"/>
        </w:rPr>
        <w:t>9.5</w:t>
      </w:r>
      <w:r>
        <w:rPr>
          <w:sz w:val="24"/>
        </w:rPr>
        <w:t>％；极轻度</w:t>
      </w:r>
      <w:r>
        <w:rPr>
          <w:sz w:val="24"/>
        </w:rPr>
        <w:t>151558</w:t>
      </w:r>
      <w:r>
        <w:rPr>
          <w:sz w:val="24"/>
        </w:rPr>
        <w:t>例，占全部受检儿童的</w:t>
      </w:r>
      <w:r>
        <w:rPr>
          <w:sz w:val="24"/>
        </w:rPr>
        <w:t>7.5</w:t>
      </w:r>
      <w:r>
        <w:rPr>
          <w:sz w:val="24"/>
        </w:rPr>
        <w:t>％；轻度</w:t>
      </w:r>
      <w:r>
        <w:rPr>
          <w:sz w:val="24"/>
        </w:rPr>
        <w:t>92808</w:t>
      </w:r>
      <w:r>
        <w:rPr>
          <w:sz w:val="24"/>
        </w:rPr>
        <w:t>例，占全部受检儿童的</w:t>
      </w:r>
      <w:r>
        <w:rPr>
          <w:sz w:val="24"/>
        </w:rPr>
        <w:t>4.6</w:t>
      </w:r>
      <w:r>
        <w:rPr>
          <w:sz w:val="24"/>
        </w:rPr>
        <w:t>％；中度</w:t>
      </w:r>
      <w:r>
        <w:rPr>
          <w:sz w:val="24"/>
        </w:rPr>
        <w:t>26723</w:t>
      </w:r>
      <w:r>
        <w:rPr>
          <w:sz w:val="24"/>
        </w:rPr>
        <w:t>例，占全部受检儿童的</w:t>
      </w:r>
      <w:r>
        <w:rPr>
          <w:sz w:val="24"/>
        </w:rPr>
        <w:t>1.3</w:t>
      </w:r>
      <w:r>
        <w:rPr>
          <w:sz w:val="24"/>
        </w:rPr>
        <w:t>％；重度</w:t>
      </w:r>
      <w:r>
        <w:rPr>
          <w:sz w:val="24"/>
        </w:rPr>
        <w:t>3620</w:t>
      </w:r>
      <w:r>
        <w:rPr>
          <w:sz w:val="24"/>
        </w:rPr>
        <w:t>例，占全部受检儿童的</w:t>
      </w:r>
      <w:r>
        <w:rPr>
          <w:sz w:val="24"/>
        </w:rPr>
        <w:t>0.2</w:t>
      </w:r>
      <w:r>
        <w:rPr>
          <w:sz w:val="24"/>
        </w:rPr>
        <w:t>％。氟斑牙检出率超过</w:t>
      </w:r>
      <w:r>
        <w:rPr>
          <w:sz w:val="24"/>
        </w:rPr>
        <w:t>30%</w:t>
      </w:r>
      <w:r>
        <w:rPr>
          <w:sz w:val="24"/>
        </w:rPr>
        <w:t>的省份有</w:t>
      </w:r>
      <w:r>
        <w:rPr>
          <w:sz w:val="24"/>
        </w:rPr>
        <w:t>1</w:t>
      </w:r>
      <w:r>
        <w:rPr>
          <w:sz w:val="24"/>
        </w:rPr>
        <w:t>个，为天津（</w:t>
      </w:r>
      <w:r>
        <w:rPr>
          <w:sz w:val="24"/>
        </w:rPr>
        <w:t>36.2%</w:t>
      </w:r>
      <w:r>
        <w:rPr>
          <w:sz w:val="24"/>
        </w:rPr>
        <w:t>）。内蒙古因只上报了确诊病例，故无法计算检出率。其他省份氟斑牙检出率均低于</w:t>
      </w:r>
      <w:r>
        <w:rPr>
          <w:sz w:val="24"/>
        </w:rPr>
        <w:t>30%</w:t>
      </w:r>
      <w:r>
        <w:rPr>
          <w:sz w:val="24"/>
        </w:rPr>
        <w:t>。</w:t>
      </w:r>
    </w:p>
    <w:p w:rsidR="00004A94" w:rsidRDefault="00004A94" w:rsidP="00004A94">
      <w:pPr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（三）</w:t>
      </w:r>
      <w:proofErr w:type="gramStart"/>
      <w:r>
        <w:rPr>
          <w:rFonts w:ascii="宋体" w:hAnsi="宋体" w:hint="eastAsia"/>
          <w:b/>
          <w:sz w:val="24"/>
        </w:rPr>
        <w:t>病区县</w:t>
      </w:r>
      <w:proofErr w:type="gramEnd"/>
      <w:r>
        <w:rPr>
          <w:rFonts w:ascii="宋体" w:hAnsi="宋体" w:hint="eastAsia"/>
          <w:b/>
          <w:sz w:val="24"/>
        </w:rPr>
        <w:t>控制评价结果</w:t>
      </w:r>
    </w:p>
    <w:p w:rsidR="00004A94" w:rsidRDefault="00004A94" w:rsidP="00004A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t>截止到</w:t>
      </w:r>
      <w:r>
        <w:rPr>
          <w:sz w:val="24"/>
        </w:rPr>
        <w:t>2020</w:t>
      </w:r>
      <w:r>
        <w:rPr>
          <w:sz w:val="24"/>
        </w:rPr>
        <w:t>年，全国</w:t>
      </w:r>
      <w:r>
        <w:rPr>
          <w:sz w:val="24"/>
        </w:rPr>
        <w:t>28</w:t>
      </w:r>
      <w:r>
        <w:rPr>
          <w:sz w:val="24"/>
        </w:rPr>
        <w:t>个省共监测</w:t>
      </w:r>
      <w:r>
        <w:rPr>
          <w:sz w:val="24"/>
        </w:rPr>
        <w:t>1041</w:t>
      </w:r>
      <w:r>
        <w:rPr>
          <w:sz w:val="24"/>
        </w:rPr>
        <w:t>个饮水型氟中毒病区县，其中，完全达到控制的县有</w:t>
      </w:r>
      <w:r>
        <w:rPr>
          <w:sz w:val="24"/>
        </w:rPr>
        <w:t>953</w:t>
      </w:r>
      <w:r>
        <w:rPr>
          <w:sz w:val="24"/>
        </w:rPr>
        <w:t>个，占总数的</w:t>
      </w:r>
      <w:r>
        <w:rPr>
          <w:sz w:val="24"/>
        </w:rPr>
        <w:t>91.55%</w:t>
      </w:r>
      <w:r>
        <w:rPr>
          <w:sz w:val="24"/>
        </w:rPr>
        <w:t>，北京、山西、内蒙古、黑龙江、浙江、福建、江西、湖北、湖南、广东、广西、重庆、云南、甘肃、青海和西藏等</w:t>
      </w:r>
      <w:r>
        <w:rPr>
          <w:sz w:val="24"/>
        </w:rPr>
        <w:t>16</w:t>
      </w:r>
      <w:r>
        <w:rPr>
          <w:sz w:val="24"/>
        </w:rPr>
        <w:t>个省控制率达到</w:t>
      </w:r>
      <w:r>
        <w:rPr>
          <w:sz w:val="24"/>
        </w:rPr>
        <w:t>100%</w:t>
      </w:r>
      <w:r>
        <w:rPr>
          <w:sz w:val="24"/>
        </w:rPr>
        <w:t>；河北（</w:t>
      </w:r>
      <w:r>
        <w:rPr>
          <w:sz w:val="24"/>
        </w:rPr>
        <w:t>98.97%</w:t>
      </w:r>
      <w:r>
        <w:rPr>
          <w:sz w:val="24"/>
        </w:rPr>
        <w:t>）、新疆（</w:t>
      </w:r>
      <w:r>
        <w:rPr>
          <w:sz w:val="24"/>
        </w:rPr>
        <w:t>95.12%</w:t>
      </w:r>
      <w:r>
        <w:rPr>
          <w:sz w:val="24"/>
        </w:rPr>
        <w:t>）和辽宁（</w:t>
      </w:r>
      <w:r>
        <w:rPr>
          <w:sz w:val="24"/>
        </w:rPr>
        <w:t>90.91%</w:t>
      </w:r>
      <w:r>
        <w:rPr>
          <w:sz w:val="24"/>
        </w:rPr>
        <w:t>）</w:t>
      </w:r>
      <w:r>
        <w:rPr>
          <w:sz w:val="24"/>
        </w:rPr>
        <w:t>3</w:t>
      </w:r>
      <w:r>
        <w:rPr>
          <w:sz w:val="24"/>
        </w:rPr>
        <w:t>个省控制率在</w:t>
      </w:r>
      <w:r>
        <w:rPr>
          <w:sz w:val="24"/>
        </w:rPr>
        <w:t>90%-100%</w:t>
      </w:r>
      <w:r>
        <w:rPr>
          <w:sz w:val="24"/>
        </w:rPr>
        <w:t>之间；宁夏（</w:t>
      </w:r>
      <w:r>
        <w:rPr>
          <w:sz w:val="24"/>
        </w:rPr>
        <w:t>89.47%</w:t>
      </w:r>
      <w:r>
        <w:rPr>
          <w:sz w:val="24"/>
        </w:rPr>
        <w:t>）、陕西（</w:t>
      </w:r>
      <w:r>
        <w:rPr>
          <w:sz w:val="24"/>
        </w:rPr>
        <w:t>88.52%</w:t>
      </w:r>
      <w:r>
        <w:rPr>
          <w:sz w:val="24"/>
        </w:rPr>
        <w:t>）、吉林（</w:t>
      </w:r>
      <w:r>
        <w:rPr>
          <w:sz w:val="24"/>
        </w:rPr>
        <w:t>87.50%</w:t>
      </w:r>
      <w:r>
        <w:rPr>
          <w:sz w:val="24"/>
        </w:rPr>
        <w:t>）、山东（</w:t>
      </w:r>
      <w:r>
        <w:rPr>
          <w:sz w:val="24"/>
        </w:rPr>
        <w:t>85.59%</w:t>
      </w:r>
      <w:r>
        <w:rPr>
          <w:sz w:val="24"/>
        </w:rPr>
        <w:t>）和江苏（</w:t>
      </w:r>
      <w:r>
        <w:rPr>
          <w:sz w:val="24"/>
        </w:rPr>
        <w:t>80.77%</w:t>
      </w:r>
      <w:r>
        <w:rPr>
          <w:sz w:val="24"/>
        </w:rPr>
        <w:t>）</w:t>
      </w:r>
      <w:r>
        <w:rPr>
          <w:sz w:val="24"/>
        </w:rPr>
        <w:t>5</w:t>
      </w:r>
      <w:r>
        <w:rPr>
          <w:sz w:val="24"/>
        </w:rPr>
        <w:t>个省控制率在</w:t>
      </w:r>
      <w:r>
        <w:rPr>
          <w:sz w:val="24"/>
        </w:rPr>
        <w:t>80%-90%</w:t>
      </w:r>
      <w:r>
        <w:rPr>
          <w:sz w:val="24"/>
        </w:rPr>
        <w:t>之间；控制率低于</w:t>
      </w:r>
      <w:r>
        <w:rPr>
          <w:sz w:val="24"/>
        </w:rPr>
        <w:t>80%</w:t>
      </w:r>
      <w:r>
        <w:rPr>
          <w:sz w:val="24"/>
        </w:rPr>
        <w:t>的省份有河南（</w:t>
      </w:r>
      <w:r>
        <w:rPr>
          <w:sz w:val="24"/>
        </w:rPr>
        <w:t>76.79%</w:t>
      </w:r>
      <w:r>
        <w:rPr>
          <w:sz w:val="24"/>
        </w:rPr>
        <w:t>）、安徽（</w:t>
      </w:r>
      <w:r>
        <w:rPr>
          <w:sz w:val="24"/>
        </w:rPr>
        <w:t>68%</w:t>
      </w:r>
      <w:r>
        <w:rPr>
          <w:sz w:val="24"/>
        </w:rPr>
        <w:t>）、四川（</w:t>
      </w:r>
      <w:r>
        <w:rPr>
          <w:sz w:val="24"/>
        </w:rPr>
        <w:t>50%</w:t>
      </w:r>
      <w:r>
        <w:rPr>
          <w:sz w:val="24"/>
        </w:rPr>
        <w:t>）和天津（</w:t>
      </w:r>
      <w:r>
        <w:rPr>
          <w:sz w:val="24"/>
        </w:rPr>
        <w:t>20%</w:t>
      </w:r>
      <w:r>
        <w:rPr>
          <w:sz w:val="24"/>
        </w:rPr>
        <w:t>）</w:t>
      </w:r>
      <w:r>
        <w:rPr>
          <w:sz w:val="24"/>
        </w:rPr>
        <w:t>4</w:t>
      </w:r>
      <w:r>
        <w:rPr>
          <w:sz w:val="24"/>
        </w:rPr>
        <w:t>省。防治措施达到控制的县有</w:t>
      </w:r>
      <w:r>
        <w:rPr>
          <w:sz w:val="24"/>
        </w:rPr>
        <w:t>988</w:t>
      </w:r>
      <w:r>
        <w:rPr>
          <w:sz w:val="24"/>
        </w:rPr>
        <w:t>个，占总数的</w:t>
      </w:r>
      <w:r>
        <w:rPr>
          <w:sz w:val="24"/>
        </w:rPr>
        <w:t>94.91%</w:t>
      </w:r>
      <w:r>
        <w:rPr>
          <w:sz w:val="24"/>
        </w:rPr>
        <w:t>，其中，北京、天津等</w:t>
      </w:r>
      <w:r>
        <w:rPr>
          <w:sz w:val="24"/>
        </w:rPr>
        <w:t>21</w:t>
      </w:r>
      <w:r>
        <w:rPr>
          <w:sz w:val="24"/>
        </w:rPr>
        <w:t>个省防治措施控制率为</w:t>
      </w:r>
      <w:r>
        <w:rPr>
          <w:sz w:val="24"/>
        </w:rPr>
        <w:t>100%</w:t>
      </w:r>
      <w:r>
        <w:rPr>
          <w:rFonts w:hint="eastAsia"/>
          <w:sz w:val="24"/>
        </w:rPr>
        <w:t>。另外，有天津、吉林、江苏、陕西、新疆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省区虽然</w:t>
      </w:r>
      <w:r>
        <w:rPr>
          <w:rFonts w:hint="eastAsia"/>
          <w:sz w:val="24"/>
        </w:rPr>
        <w:t>100%</w:t>
      </w:r>
      <w:r>
        <w:rPr>
          <w:rFonts w:hint="eastAsia"/>
          <w:sz w:val="24"/>
        </w:rPr>
        <w:t>落实防治措施，但由于病情未达到控制标准，最终评价结果仍为处于未控制状态，尚需持续监测评价</w:t>
      </w:r>
      <w:r>
        <w:rPr>
          <w:sz w:val="24"/>
        </w:rPr>
        <w:t>。</w:t>
      </w:r>
    </w:p>
    <w:p w:rsidR="00004A94" w:rsidRDefault="00004A94" w:rsidP="00004A94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三</w:t>
      </w:r>
      <w:r>
        <w:rPr>
          <w:rFonts w:eastAsia="宋体" w:hAnsi="宋体" w:cs="Times New Roman"/>
          <w:b/>
          <w:sz w:val="24"/>
          <w:szCs w:val="24"/>
        </w:rPr>
        <w:t>、存在的问题</w:t>
      </w:r>
    </w:p>
    <w:p w:rsidR="00004A94" w:rsidRDefault="00004A94" w:rsidP="00004A94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（一）部分</w:t>
      </w:r>
      <w:proofErr w:type="gramStart"/>
      <w:r>
        <w:rPr>
          <w:rFonts w:eastAsia="宋体" w:cs="Times New Roman" w:hint="eastAsia"/>
          <w:b/>
          <w:bCs/>
          <w:sz w:val="24"/>
          <w:szCs w:val="24"/>
        </w:rPr>
        <w:t>病区村改水工程不能</w:t>
      </w:r>
      <w:proofErr w:type="gramEnd"/>
      <w:r>
        <w:rPr>
          <w:rFonts w:eastAsia="宋体" w:cs="Times New Roman" w:hint="eastAsia"/>
          <w:b/>
          <w:bCs/>
          <w:sz w:val="24"/>
          <w:szCs w:val="24"/>
        </w:rPr>
        <w:t>正常运转</w:t>
      </w:r>
    </w:p>
    <w:p w:rsidR="00004A94" w:rsidRDefault="00004A94" w:rsidP="00004A94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2020</w:t>
      </w:r>
      <w:r>
        <w:rPr>
          <w:rFonts w:eastAsia="宋体" w:cs="Times New Roman" w:hint="eastAsia"/>
          <w:bCs/>
          <w:sz w:val="24"/>
          <w:szCs w:val="24"/>
        </w:rPr>
        <w:t>年度监测数据表明，在“地方病防治专项三年攻坚行动”完成后，全国改水率和水氟合格率分别为</w:t>
      </w:r>
      <w:r>
        <w:rPr>
          <w:rFonts w:eastAsia="宋体" w:cs="Times New Roman" w:hint="eastAsia"/>
          <w:bCs/>
          <w:sz w:val="24"/>
          <w:szCs w:val="24"/>
        </w:rPr>
        <w:t>98.50%</w:t>
      </w:r>
      <w:r>
        <w:rPr>
          <w:rFonts w:eastAsia="宋体" w:cs="Times New Roman" w:hint="eastAsia"/>
          <w:bCs/>
          <w:sz w:val="24"/>
          <w:szCs w:val="24"/>
        </w:rPr>
        <w:t>和</w:t>
      </w:r>
      <w:r>
        <w:rPr>
          <w:rFonts w:eastAsia="宋体" w:cs="Times New Roman" w:hint="eastAsia"/>
          <w:bCs/>
          <w:sz w:val="24"/>
          <w:szCs w:val="24"/>
        </w:rPr>
        <w:t>99.63%</w:t>
      </w:r>
      <w:r>
        <w:rPr>
          <w:rFonts w:eastAsia="宋体" w:cs="Times New Roman" w:hint="eastAsia"/>
          <w:bCs/>
          <w:sz w:val="24"/>
          <w:szCs w:val="24"/>
        </w:rPr>
        <w:t>，均达到了“十三五”规划要求，但值得注意的是，仍有</w:t>
      </w:r>
      <w:r>
        <w:rPr>
          <w:rFonts w:eastAsia="宋体" w:cs="Times New Roman" w:hint="eastAsia"/>
          <w:bCs/>
          <w:sz w:val="24"/>
          <w:szCs w:val="24"/>
        </w:rPr>
        <w:t>352</w:t>
      </w:r>
      <w:r>
        <w:rPr>
          <w:rFonts w:eastAsia="宋体" w:cs="Times New Roman" w:hint="eastAsia"/>
          <w:bCs/>
          <w:sz w:val="24"/>
          <w:szCs w:val="24"/>
        </w:rPr>
        <w:t>个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的改水工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程不能</w:t>
      </w:r>
      <w:proofErr w:type="gramEnd"/>
      <w:r>
        <w:rPr>
          <w:rFonts w:eastAsia="宋体" w:cs="Times New Roman" w:hint="eastAsia"/>
          <w:bCs/>
          <w:sz w:val="24"/>
          <w:szCs w:val="24"/>
        </w:rPr>
        <w:t>正常运转，有</w:t>
      </w:r>
      <w:r>
        <w:rPr>
          <w:rFonts w:eastAsia="宋体" w:cs="Times New Roman" w:hint="eastAsia"/>
          <w:bCs/>
          <w:sz w:val="24"/>
          <w:szCs w:val="24"/>
        </w:rPr>
        <w:t>592</w:t>
      </w:r>
      <w:r>
        <w:rPr>
          <w:rFonts w:eastAsia="宋体" w:cs="Times New Roman" w:hint="eastAsia"/>
          <w:bCs/>
          <w:sz w:val="24"/>
          <w:szCs w:val="24"/>
        </w:rPr>
        <w:t>个改水工程已经报废，其所覆盖的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居民仍然受到高氟暴露的威胁。应加强对改水工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程不能</w:t>
      </w:r>
      <w:proofErr w:type="gramEnd"/>
      <w:r>
        <w:rPr>
          <w:rFonts w:eastAsia="宋体" w:cs="Times New Roman" w:hint="eastAsia"/>
          <w:bCs/>
          <w:sz w:val="24"/>
          <w:szCs w:val="24"/>
        </w:rPr>
        <w:t>正常运转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的监测和改进，对于已报废的改水工程应尽快维修或重建，</w:t>
      </w:r>
      <w:r>
        <w:rPr>
          <w:rFonts w:eastAsia="宋体" w:cs="Times New Roman" w:hint="eastAsia"/>
          <w:bCs/>
          <w:sz w:val="24"/>
          <w:szCs w:val="24"/>
        </w:rPr>
        <w:lastRenderedPageBreak/>
        <w:t>同时，也要重视对正常运转改水工程的管理和维护。</w:t>
      </w:r>
    </w:p>
    <w:p w:rsidR="00004A94" w:rsidRDefault="00004A94" w:rsidP="00004A94">
      <w:pPr>
        <w:pStyle w:val="GB2312TimesNewRoman2"/>
        <w:spacing w:line="360" w:lineRule="auto"/>
        <w:ind w:firstLine="482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（二）重视未改水村监测</w:t>
      </w:r>
    </w:p>
    <w:p w:rsidR="00004A94" w:rsidRDefault="00004A94" w:rsidP="00004A94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2020</w:t>
      </w:r>
      <w:r>
        <w:rPr>
          <w:rFonts w:eastAsia="宋体" w:cs="Times New Roman" w:hint="eastAsia"/>
          <w:bCs/>
          <w:sz w:val="24"/>
          <w:szCs w:val="24"/>
        </w:rPr>
        <w:t>年监测数据显示，仍有</w:t>
      </w:r>
      <w:r>
        <w:rPr>
          <w:rFonts w:eastAsia="宋体" w:cs="Times New Roman" w:hint="eastAsia"/>
          <w:bCs/>
          <w:sz w:val="24"/>
          <w:szCs w:val="24"/>
        </w:rPr>
        <w:t>1108</w:t>
      </w:r>
      <w:r>
        <w:rPr>
          <w:rFonts w:eastAsia="宋体" w:cs="Times New Roman" w:hint="eastAsia"/>
          <w:bCs/>
          <w:sz w:val="24"/>
          <w:szCs w:val="24"/>
        </w:rPr>
        <w:t>个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未改水，虽然部分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在今年的监测中</w:t>
      </w:r>
      <w:proofErr w:type="gramStart"/>
      <w:r>
        <w:rPr>
          <w:rFonts w:eastAsia="宋体" w:cs="Times New Roman" w:hint="eastAsia"/>
          <w:bCs/>
          <w:sz w:val="24"/>
          <w:szCs w:val="24"/>
        </w:rPr>
        <w:t>水氟并未</w:t>
      </w:r>
      <w:proofErr w:type="gramEnd"/>
      <w:r>
        <w:rPr>
          <w:rFonts w:eastAsia="宋体" w:cs="Times New Roman" w:hint="eastAsia"/>
          <w:bCs/>
          <w:sz w:val="24"/>
          <w:szCs w:val="24"/>
        </w:rPr>
        <w:t>超标，但村民自饮井水水质变化较大，难以确保水氟含量一直达标，应加强水质监测，有条件的应尽快改水。黑龙江和天津各有一个未改水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水氟超过</w:t>
      </w:r>
      <w:r>
        <w:rPr>
          <w:rFonts w:eastAsia="宋体" w:cs="Times New Roman" w:hint="eastAsia"/>
          <w:bCs/>
          <w:sz w:val="24"/>
          <w:szCs w:val="24"/>
        </w:rPr>
        <w:t>4.0mg/L</w:t>
      </w:r>
      <w:r>
        <w:rPr>
          <w:rFonts w:eastAsia="宋体" w:cs="Times New Roman" w:hint="eastAsia"/>
          <w:bCs/>
          <w:sz w:val="24"/>
          <w:szCs w:val="24"/>
        </w:rPr>
        <w:t>，覆盖人口分别为</w:t>
      </w:r>
      <w:r>
        <w:rPr>
          <w:rFonts w:eastAsia="宋体" w:cs="Times New Roman" w:hint="eastAsia"/>
          <w:bCs/>
          <w:sz w:val="24"/>
          <w:szCs w:val="24"/>
        </w:rPr>
        <w:t>391</w:t>
      </w:r>
      <w:r>
        <w:rPr>
          <w:rFonts w:eastAsia="宋体" w:cs="Times New Roman" w:hint="eastAsia"/>
          <w:bCs/>
          <w:sz w:val="24"/>
          <w:szCs w:val="24"/>
        </w:rPr>
        <w:t>人和</w:t>
      </w:r>
      <w:r>
        <w:rPr>
          <w:rFonts w:eastAsia="宋体" w:cs="Times New Roman" w:hint="eastAsia"/>
          <w:bCs/>
          <w:sz w:val="24"/>
          <w:szCs w:val="24"/>
        </w:rPr>
        <w:t>1223</w:t>
      </w:r>
      <w:r>
        <w:rPr>
          <w:rFonts w:eastAsia="宋体" w:cs="Times New Roman" w:hint="eastAsia"/>
          <w:bCs/>
          <w:sz w:val="24"/>
          <w:szCs w:val="24"/>
        </w:rPr>
        <w:t>人，长期饮用对村民健康危害极大，应尽快改水。</w:t>
      </w:r>
    </w:p>
    <w:p w:rsidR="00004A94" w:rsidRDefault="00004A94" w:rsidP="00004A94">
      <w:pPr>
        <w:pStyle w:val="GB2312TimesNewRoman2"/>
        <w:spacing w:line="360" w:lineRule="auto"/>
        <w:ind w:firstLine="482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（三）仍有部分</w:t>
      </w:r>
      <w:proofErr w:type="gramStart"/>
      <w:r>
        <w:rPr>
          <w:rFonts w:eastAsia="宋体" w:cs="Times New Roman" w:hint="eastAsia"/>
          <w:b/>
          <w:sz w:val="24"/>
          <w:szCs w:val="24"/>
        </w:rPr>
        <w:t>病区县防治</w:t>
      </w:r>
      <w:proofErr w:type="gramEnd"/>
      <w:r>
        <w:rPr>
          <w:rFonts w:eastAsia="宋体" w:cs="Times New Roman" w:hint="eastAsia"/>
          <w:b/>
          <w:sz w:val="24"/>
          <w:szCs w:val="24"/>
        </w:rPr>
        <w:t>措施落实不够</w:t>
      </w:r>
    </w:p>
    <w:p w:rsidR="00004A94" w:rsidRDefault="00004A94" w:rsidP="00004A94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2020</w:t>
      </w:r>
      <w:r>
        <w:rPr>
          <w:rFonts w:eastAsia="宋体" w:cs="Times New Roman" w:hint="eastAsia"/>
          <w:bCs/>
          <w:sz w:val="24"/>
          <w:szCs w:val="24"/>
        </w:rPr>
        <w:t>年监测数据显示，全国</w:t>
      </w:r>
      <w:r>
        <w:rPr>
          <w:rFonts w:eastAsia="宋体" w:cs="Times New Roman" w:hint="eastAsia"/>
          <w:bCs/>
          <w:sz w:val="24"/>
          <w:szCs w:val="24"/>
        </w:rPr>
        <w:t>91.55%</w:t>
      </w:r>
      <w:r>
        <w:rPr>
          <w:rFonts w:eastAsia="宋体" w:cs="Times New Roman" w:hint="eastAsia"/>
          <w:bCs/>
          <w:sz w:val="24"/>
          <w:szCs w:val="24"/>
        </w:rPr>
        <w:t>的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病区县</w:t>
      </w:r>
      <w:proofErr w:type="gramEnd"/>
      <w:r>
        <w:rPr>
          <w:rFonts w:eastAsia="宋体" w:cs="Times New Roman" w:hint="eastAsia"/>
          <w:bCs/>
          <w:sz w:val="24"/>
          <w:szCs w:val="24"/>
        </w:rPr>
        <w:t>已经完全达到控制标准，</w:t>
      </w:r>
      <w:r>
        <w:rPr>
          <w:rFonts w:eastAsia="宋体" w:cs="Times New Roman" w:hint="eastAsia"/>
          <w:bCs/>
          <w:sz w:val="24"/>
          <w:szCs w:val="24"/>
        </w:rPr>
        <w:t>94.91%</w:t>
      </w:r>
      <w:r>
        <w:rPr>
          <w:rFonts w:eastAsia="宋体" w:cs="Times New Roman" w:hint="eastAsia"/>
          <w:bCs/>
          <w:sz w:val="24"/>
          <w:szCs w:val="24"/>
        </w:rPr>
        <w:t>的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病区县防治</w:t>
      </w:r>
      <w:proofErr w:type="gramEnd"/>
      <w:r>
        <w:rPr>
          <w:rFonts w:eastAsia="宋体" w:cs="Times New Roman" w:hint="eastAsia"/>
          <w:bCs/>
          <w:sz w:val="24"/>
          <w:szCs w:val="24"/>
        </w:rPr>
        <w:t>措施达到控制标准，二者存在差异的原因多是由于一些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病区县</w:t>
      </w:r>
      <w:proofErr w:type="gramEnd"/>
      <w:r>
        <w:rPr>
          <w:rFonts w:eastAsia="宋体" w:cs="Times New Roman" w:hint="eastAsia"/>
          <w:bCs/>
          <w:sz w:val="24"/>
          <w:szCs w:val="24"/>
        </w:rPr>
        <w:t>改水时间较晚，水氟含量已经合格但儿童氟斑牙病情还没有完全控制，应持续重点监测</w:t>
      </w:r>
      <w:r>
        <w:rPr>
          <w:rFonts w:eastAsia="宋体" w:cs="Times New Roman" w:hint="eastAsia"/>
          <w:bCs/>
          <w:sz w:val="24"/>
          <w:szCs w:val="24"/>
        </w:rPr>
        <w:t>5</w:t>
      </w:r>
      <w:r>
        <w:rPr>
          <w:rFonts w:eastAsia="宋体" w:cs="Times New Roman" w:hint="eastAsia"/>
          <w:bCs/>
          <w:sz w:val="24"/>
          <w:szCs w:val="24"/>
        </w:rPr>
        <w:t>年。</w:t>
      </w:r>
    </w:p>
    <w:p w:rsidR="00004A94" w:rsidRDefault="00004A94" w:rsidP="00004A94">
      <w:pPr>
        <w:pStyle w:val="GB2312TimesNewRoman2"/>
        <w:spacing w:line="360" w:lineRule="auto"/>
        <w:ind w:firstLine="482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（四）监测数据质量有所提高但仍需完善</w:t>
      </w:r>
    </w:p>
    <w:p w:rsidR="00004A94" w:rsidRDefault="00004A94" w:rsidP="00004A94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2020</w:t>
      </w:r>
      <w:r>
        <w:rPr>
          <w:rFonts w:eastAsia="宋体" w:cs="Times New Roman" w:hint="eastAsia"/>
          <w:bCs/>
          <w:sz w:val="24"/>
          <w:szCs w:val="24"/>
        </w:rPr>
        <w:t>年是饮水型氟中毒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监测全</w:t>
      </w:r>
      <w:proofErr w:type="gramEnd"/>
      <w:r>
        <w:rPr>
          <w:rFonts w:eastAsia="宋体" w:cs="Times New Roman" w:hint="eastAsia"/>
          <w:bCs/>
          <w:sz w:val="24"/>
          <w:szCs w:val="24"/>
        </w:rPr>
        <w:t>覆盖的第二年，有了前一年的工作经验，各省上报的监测数据质量普遍有所提高，但由于工作量大，监测范围广，基层人员不足等原因，监测数据仍然存在错报、漏报、迟报、不按要求模板上报等情况，希望</w:t>
      </w:r>
      <w:proofErr w:type="gramStart"/>
      <w:r>
        <w:rPr>
          <w:rFonts w:eastAsia="宋体" w:cs="Times New Roman" w:hint="eastAsia"/>
          <w:bCs/>
          <w:sz w:val="24"/>
          <w:szCs w:val="24"/>
        </w:rPr>
        <w:t>各省疾控部门</w:t>
      </w:r>
      <w:proofErr w:type="gramEnd"/>
      <w:r>
        <w:rPr>
          <w:rFonts w:eastAsia="宋体" w:cs="Times New Roman" w:hint="eastAsia"/>
          <w:bCs/>
          <w:sz w:val="24"/>
          <w:szCs w:val="24"/>
        </w:rPr>
        <w:t>能够重视监测工作，继续提高监测数据质量。</w:t>
      </w:r>
    </w:p>
    <w:p w:rsidR="00004A94" w:rsidRDefault="00004A94" w:rsidP="00004A94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四、下一步工作建议</w:t>
      </w:r>
    </w:p>
    <w:p w:rsidR="00004A94" w:rsidRDefault="00004A94" w:rsidP="00004A94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 w:hint="eastAsia"/>
          <w:sz w:val="24"/>
        </w:rPr>
      </w:pPr>
      <w:r>
        <w:rPr>
          <w:rFonts w:hint="eastAsia"/>
          <w:b/>
          <w:sz w:val="24"/>
          <w:szCs w:val="24"/>
        </w:rPr>
        <w:t>（一）</w:t>
      </w:r>
      <w:r>
        <w:rPr>
          <w:rFonts w:ascii="宋体" w:hAnsi="宋体" w:hint="eastAsia"/>
          <w:b/>
          <w:sz w:val="24"/>
        </w:rPr>
        <w:t>加快改水进程并加强水质监测</w:t>
      </w:r>
    </w:p>
    <w:p w:rsidR="00004A94" w:rsidRDefault="00004A94" w:rsidP="00004A94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全国仍有部分</w:t>
      </w:r>
      <w:proofErr w:type="gramStart"/>
      <w:r>
        <w:rPr>
          <w:rFonts w:ascii="宋体" w:hAnsi="宋体" w:hint="eastAsia"/>
          <w:sz w:val="24"/>
        </w:rPr>
        <w:t>病区村</w:t>
      </w:r>
      <w:proofErr w:type="gramEnd"/>
      <w:r>
        <w:rPr>
          <w:rFonts w:ascii="宋体" w:hAnsi="宋体" w:hint="eastAsia"/>
          <w:sz w:val="24"/>
        </w:rPr>
        <w:t>未改水，且个别</w:t>
      </w:r>
      <w:proofErr w:type="gramStart"/>
      <w:r>
        <w:rPr>
          <w:rFonts w:ascii="宋体" w:hAnsi="宋体" w:hint="eastAsia"/>
          <w:sz w:val="24"/>
        </w:rPr>
        <w:t>病区村</w:t>
      </w:r>
      <w:proofErr w:type="gramEnd"/>
      <w:r>
        <w:rPr>
          <w:rFonts w:ascii="宋体" w:hAnsi="宋体" w:hint="eastAsia"/>
          <w:sz w:val="24"/>
        </w:rPr>
        <w:t>水氟含量偏高，应</w:t>
      </w:r>
      <w:r>
        <w:rPr>
          <w:rFonts w:ascii="宋体" w:hAnsi="宋体"/>
          <w:sz w:val="24"/>
        </w:rPr>
        <w:t>尽快落实改水措施</w:t>
      </w:r>
      <w:r>
        <w:rPr>
          <w:rFonts w:ascii="宋体" w:hAnsi="宋体" w:hint="eastAsia"/>
          <w:sz w:val="24"/>
        </w:rPr>
        <w:t>。个别改水工程水氟含量仍然超标，改水工程运转不正常导致的水质改变也时有发生，应加强对改水工程和末梢水质的监测，对于运转不正常或者报废的改水工程应尽快维修，对于正常运转且水氟含量不合格的改水工程应尽快改建，更换新的水源。</w:t>
      </w:r>
    </w:p>
    <w:p w:rsidR="00004A94" w:rsidRDefault="00004A94" w:rsidP="00004A94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（二）对于没有达到控制标准的</w:t>
      </w:r>
      <w:proofErr w:type="gramStart"/>
      <w:r>
        <w:rPr>
          <w:rFonts w:ascii="宋体" w:hAnsi="宋体" w:hint="eastAsia"/>
          <w:b/>
          <w:bCs/>
          <w:sz w:val="24"/>
        </w:rPr>
        <w:t>病区县</w:t>
      </w:r>
      <w:proofErr w:type="gramEnd"/>
      <w:r>
        <w:rPr>
          <w:rFonts w:ascii="宋体" w:hAnsi="宋体" w:hint="eastAsia"/>
          <w:b/>
          <w:bCs/>
          <w:sz w:val="24"/>
        </w:rPr>
        <w:t>应重点关注</w:t>
      </w:r>
    </w:p>
    <w:p w:rsidR="00004A94" w:rsidRDefault="00004A94" w:rsidP="00004A9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全国仍有部分</w:t>
      </w:r>
      <w:proofErr w:type="gramStart"/>
      <w:r>
        <w:rPr>
          <w:rFonts w:ascii="宋体" w:hAnsi="宋体" w:hint="eastAsia"/>
          <w:sz w:val="24"/>
        </w:rPr>
        <w:t>病区县</w:t>
      </w:r>
      <w:proofErr w:type="gramEnd"/>
      <w:r>
        <w:rPr>
          <w:rFonts w:ascii="宋体" w:hAnsi="宋体" w:hint="eastAsia"/>
          <w:sz w:val="24"/>
        </w:rPr>
        <w:t>氟斑牙病情和防治措施均未达到控制标准，只有尽快落实防治措施才能使儿童氟斑牙病情有效降低，因此，对于已经完全控制的</w:t>
      </w:r>
      <w:proofErr w:type="gramStart"/>
      <w:r>
        <w:rPr>
          <w:rFonts w:ascii="宋体" w:hAnsi="宋体" w:hint="eastAsia"/>
          <w:sz w:val="24"/>
        </w:rPr>
        <w:t>病区县</w:t>
      </w:r>
      <w:proofErr w:type="gramEnd"/>
      <w:r>
        <w:rPr>
          <w:rFonts w:ascii="宋体" w:hAnsi="宋体" w:hint="eastAsia"/>
          <w:sz w:val="24"/>
        </w:rPr>
        <w:t>应常规监测，巩固已有的防治成果，对于仅防治措施达标的</w:t>
      </w:r>
      <w:proofErr w:type="gramStart"/>
      <w:r>
        <w:rPr>
          <w:rFonts w:ascii="宋体" w:hAnsi="宋体" w:hint="eastAsia"/>
          <w:sz w:val="24"/>
        </w:rPr>
        <w:t>病区县</w:t>
      </w:r>
      <w:proofErr w:type="gramEnd"/>
      <w:r>
        <w:rPr>
          <w:rFonts w:ascii="宋体" w:hAnsi="宋体" w:hint="eastAsia"/>
          <w:sz w:val="24"/>
        </w:rPr>
        <w:t>应加强病情监测，对于两项都没有达标的</w:t>
      </w:r>
      <w:proofErr w:type="gramStart"/>
      <w:r>
        <w:rPr>
          <w:rFonts w:ascii="宋体" w:hAnsi="宋体" w:hint="eastAsia"/>
          <w:sz w:val="24"/>
        </w:rPr>
        <w:t>病区县</w:t>
      </w:r>
      <w:proofErr w:type="gramEnd"/>
      <w:r>
        <w:rPr>
          <w:rFonts w:ascii="宋体" w:hAnsi="宋体" w:hint="eastAsia"/>
          <w:sz w:val="24"/>
        </w:rPr>
        <w:t>应重点监测并尽快落实防治措施。</w:t>
      </w:r>
    </w:p>
    <w:p w:rsidR="00004A94" w:rsidRDefault="00004A94" w:rsidP="00004A94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（三）提高基层地方病防治能力</w:t>
      </w:r>
    </w:p>
    <w:p w:rsidR="00004A94" w:rsidRPr="00004A94" w:rsidRDefault="00004A94" w:rsidP="00004A94">
      <w:pPr>
        <w:spacing w:line="360" w:lineRule="auto"/>
        <w:ind w:firstLineChars="200" w:firstLine="480"/>
        <w:rPr>
          <w:rFonts w:ascii="Times New Roman" w:eastAsia="宋体" w:hAnsi="宋体" w:cs="Times New Roman"/>
          <w:bCs/>
          <w:kern w:val="0"/>
          <w:sz w:val="24"/>
          <w:szCs w:val="24"/>
        </w:rPr>
      </w:pPr>
      <w:r>
        <w:rPr>
          <w:rFonts w:ascii="宋体" w:hAnsi="宋体" w:hint="eastAsia"/>
          <w:sz w:val="24"/>
        </w:rPr>
        <w:t>今后的监测工作依然面临工作量大、任务重、基层从事地方病工作人员数量不足和业务水平低等困难，各</w:t>
      </w:r>
      <w:proofErr w:type="gramStart"/>
      <w:r>
        <w:rPr>
          <w:rFonts w:ascii="宋体" w:hAnsi="宋体" w:hint="eastAsia"/>
          <w:sz w:val="24"/>
        </w:rPr>
        <w:t>省级疾控部门</w:t>
      </w:r>
      <w:proofErr w:type="gramEnd"/>
      <w:r>
        <w:rPr>
          <w:rFonts w:ascii="宋体" w:hAnsi="宋体" w:hint="eastAsia"/>
          <w:sz w:val="24"/>
        </w:rPr>
        <w:t>应发挥自身的技术优势，做好技术指导，同时各省级卫</w:t>
      </w:r>
      <w:proofErr w:type="gramStart"/>
      <w:r>
        <w:rPr>
          <w:rFonts w:ascii="宋体" w:hAnsi="宋体" w:hint="eastAsia"/>
          <w:sz w:val="24"/>
        </w:rPr>
        <w:t>健部门</w:t>
      </w:r>
      <w:proofErr w:type="gramEnd"/>
      <w:r>
        <w:rPr>
          <w:rFonts w:ascii="宋体" w:hAnsi="宋体" w:hint="eastAsia"/>
          <w:sz w:val="24"/>
        </w:rPr>
        <w:t>应加强基层工作人员队伍建设，有效提高基层地方病防治能力。</w:t>
      </w:r>
    </w:p>
    <w:sectPr w:rsidR="00004A94" w:rsidRPr="00004A94" w:rsidSect="00D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6D" w:rsidRDefault="003D256D" w:rsidP="00004A94">
      <w:r>
        <w:separator/>
      </w:r>
    </w:p>
  </w:endnote>
  <w:endnote w:type="continuationSeparator" w:id="0">
    <w:p w:rsidR="003D256D" w:rsidRDefault="003D256D" w:rsidP="0000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6D" w:rsidRDefault="003D256D" w:rsidP="00004A94">
      <w:r>
        <w:separator/>
      </w:r>
    </w:p>
  </w:footnote>
  <w:footnote w:type="continuationSeparator" w:id="0">
    <w:p w:rsidR="003D256D" w:rsidRDefault="003D256D" w:rsidP="00004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A94"/>
    <w:rsid w:val="00004A94"/>
    <w:rsid w:val="0001365D"/>
    <w:rsid w:val="00013A3F"/>
    <w:rsid w:val="00023853"/>
    <w:rsid w:val="00025DBD"/>
    <w:rsid w:val="0003527C"/>
    <w:rsid w:val="0003767B"/>
    <w:rsid w:val="000505B7"/>
    <w:rsid w:val="00051AE8"/>
    <w:rsid w:val="00052535"/>
    <w:rsid w:val="000548CD"/>
    <w:rsid w:val="00055610"/>
    <w:rsid w:val="00057503"/>
    <w:rsid w:val="00060B55"/>
    <w:rsid w:val="00063390"/>
    <w:rsid w:val="000649E6"/>
    <w:rsid w:val="00065F77"/>
    <w:rsid w:val="00073497"/>
    <w:rsid w:val="00085C8A"/>
    <w:rsid w:val="00092A4C"/>
    <w:rsid w:val="0009741F"/>
    <w:rsid w:val="00097FDF"/>
    <w:rsid w:val="000A103E"/>
    <w:rsid w:val="000A19EB"/>
    <w:rsid w:val="000A28EA"/>
    <w:rsid w:val="000A5E28"/>
    <w:rsid w:val="000A7F93"/>
    <w:rsid w:val="000B768A"/>
    <w:rsid w:val="000C1971"/>
    <w:rsid w:val="000C3665"/>
    <w:rsid w:val="000C3FAE"/>
    <w:rsid w:val="000D393B"/>
    <w:rsid w:val="000E21D5"/>
    <w:rsid w:val="000E5CEE"/>
    <w:rsid w:val="000F74B9"/>
    <w:rsid w:val="00105FFE"/>
    <w:rsid w:val="00112421"/>
    <w:rsid w:val="0011366D"/>
    <w:rsid w:val="00114DC7"/>
    <w:rsid w:val="001171F6"/>
    <w:rsid w:val="00124903"/>
    <w:rsid w:val="001311E2"/>
    <w:rsid w:val="00134919"/>
    <w:rsid w:val="00137DCD"/>
    <w:rsid w:val="001414DA"/>
    <w:rsid w:val="00147FDE"/>
    <w:rsid w:val="00152235"/>
    <w:rsid w:val="00160219"/>
    <w:rsid w:val="0016545C"/>
    <w:rsid w:val="001667A7"/>
    <w:rsid w:val="001711BF"/>
    <w:rsid w:val="00171F03"/>
    <w:rsid w:val="00172078"/>
    <w:rsid w:val="001745BA"/>
    <w:rsid w:val="001753ED"/>
    <w:rsid w:val="0018419F"/>
    <w:rsid w:val="00190974"/>
    <w:rsid w:val="001921FF"/>
    <w:rsid w:val="00196165"/>
    <w:rsid w:val="00197BC2"/>
    <w:rsid w:val="001A0C62"/>
    <w:rsid w:val="001A1828"/>
    <w:rsid w:val="001A3934"/>
    <w:rsid w:val="001A43D2"/>
    <w:rsid w:val="001B1F32"/>
    <w:rsid w:val="001B7530"/>
    <w:rsid w:val="001C115A"/>
    <w:rsid w:val="001C586C"/>
    <w:rsid w:val="001C601E"/>
    <w:rsid w:val="001D40F0"/>
    <w:rsid w:val="001D4DBE"/>
    <w:rsid w:val="001D7731"/>
    <w:rsid w:val="001E0CD8"/>
    <w:rsid w:val="001E16C7"/>
    <w:rsid w:val="001E3BD5"/>
    <w:rsid w:val="001E4030"/>
    <w:rsid w:val="001F7D9F"/>
    <w:rsid w:val="00203ADD"/>
    <w:rsid w:val="0021582E"/>
    <w:rsid w:val="00223266"/>
    <w:rsid w:val="002275F7"/>
    <w:rsid w:val="00240381"/>
    <w:rsid w:val="00253A21"/>
    <w:rsid w:val="00260DBA"/>
    <w:rsid w:val="00263DAC"/>
    <w:rsid w:val="0026594B"/>
    <w:rsid w:val="00272B1A"/>
    <w:rsid w:val="00274567"/>
    <w:rsid w:val="002819D1"/>
    <w:rsid w:val="002868C5"/>
    <w:rsid w:val="00291AEC"/>
    <w:rsid w:val="00292457"/>
    <w:rsid w:val="00293349"/>
    <w:rsid w:val="0029684F"/>
    <w:rsid w:val="002B2517"/>
    <w:rsid w:val="002B5184"/>
    <w:rsid w:val="002B763C"/>
    <w:rsid w:val="002F4A76"/>
    <w:rsid w:val="002F7C51"/>
    <w:rsid w:val="003017EA"/>
    <w:rsid w:val="0031225B"/>
    <w:rsid w:val="00314F8D"/>
    <w:rsid w:val="00315EF6"/>
    <w:rsid w:val="0032379D"/>
    <w:rsid w:val="00325867"/>
    <w:rsid w:val="00326B91"/>
    <w:rsid w:val="00327524"/>
    <w:rsid w:val="003416A3"/>
    <w:rsid w:val="00342BD6"/>
    <w:rsid w:val="0034577A"/>
    <w:rsid w:val="0034787C"/>
    <w:rsid w:val="00347A49"/>
    <w:rsid w:val="00351AF0"/>
    <w:rsid w:val="00355CE3"/>
    <w:rsid w:val="00362F93"/>
    <w:rsid w:val="003649EB"/>
    <w:rsid w:val="00365C28"/>
    <w:rsid w:val="00365F61"/>
    <w:rsid w:val="00371707"/>
    <w:rsid w:val="003719C9"/>
    <w:rsid w:val="003744EC"/>
    <w:rsid w:val="0037662C"/>
    <w:rsid w:val="00382981"/>
    <w:rsid w:val="003837E9"/>
    <w:rsid w:val="00384F06"/>
    <w:rsid w:val="00386379"/>
    <w:rsid w:val="00387419"/>
    <w:rsid w:val="0039450D"/>
    <w:rsid w:val="003978A5"/>
    <w:rsid w:val="003A3255"/>
    <w:rsid w:val="003A3898"/>
    <w:rsid w:val="003B02A3"/>
    <w:rsid w:val="003B2422"/>
    <w:rsid w:val="003C450C"/>
    <w:rsid w:val="003C5E42"/>
    <w:rsid w:val="003D256D"/>
    <w:rsid w:val="003D2641"/>
    <w:rsid w:val="003D6952"/>
    <w:rsid w:val="003E0E59"/>
    <w:rsid w:val="003E1C12"/>
    <w:rsid w:val="003E1FC8"/>
    <w:rsid w:val="003E3C75"/>
    <w:rsid w:val="003F24E7"/>
    <w:rsid w:val="003F4051"/>
    <w:rsid w:val="003F4AB3"/>
    <w:rsid w:val="003F628D"/>
    <w:rsid w:val="004011CA"/>
    <w:rsid w:val="0040373A"/>
    <w:rsid w:val="00412B3F"/>
    <w:rsid w:val="00414D1A"/>
    <w:rsid w:val="004170DD"/>
    <w:rsid w:val="00423DFD"/>
    <w:rsid w:val="00426221"/>
    <w:rsid w:val="004269C9"/>
    <w:rsid w:val="0043295C"/>
    <w:rsid w:val="00434A72"/>
    <w:rsid w:val="0043516B"/>
    <w:rsid w:val="0044062A"/>
    <w:rsid w:val="00441095"/>
    <w:rsid w:val="004527B8"/>
    <w:rsid w:val="00453225"/>
    <w:rsid w:val="004746C8"/>
    <w:rsid w:val="00474C89"/>
    <w:rsid w:val="004766B6"/>
    <w:rsid w:val="00477755"/>
    <w:rsid w:val="00477CC9"/>
    <w:rsid w:val="00491200"/>
    <w:rsid w:val="00491AD6"/>
    <w:rsid w:val="004A16C3"/>
    <w:rsid w:val="004B5593"/>
    <w:rsid w:val="004B6368"/>
    <w:rsid w:val="004B70EC"/>
    <w:rsid w:val="004C00C7"/>
    <w:rsid w:val="004C0397"/>
    <w:rsid w:val="004C3D0A"/>
    <w:rsid w:val="004C68C0"/>
    <w:rsid w:val="004D1343"/>
    <w:rsid w:val="004D2A9E"/>
    <w:rsid w:val="004F041A"/>
    <w:rsid w:val="004F1E93"/>
    <w:rsid w:val="004F3ADF"/>
    <w:rsid w:val="004F4683"/>
    <w:rsid w:val="004F48C7"/>
    <w:rsid w:val="0050047A"/>
    <w:rsid w:val="00511E8C"/>
    <w:rsid w:val="00520105"/>
    <w:rsid w:val="00527939"/>
    <w:rsid w:val="00527FC8"/>
    <w:rsid w:val="00534A3E"/>
    <w:rsid w:val="00541D1F"/>
    <w:rsid w:val="00544D89"/>
    <w:rsid w:val="0055521D"/>
    <w:rsid w:val="00555DF3"/>
    <w:rsid w:val="00565CEB"/>
    <w:rsid w:val="00566C65"/>
    <w:rsid w:val="00567015"/>
    <w:rsid w:val="0056783D"/>
    <w:rsid w:val="00573881"/>
    <w:rsid w:val="00577464"/>
    <w:rsid w:val="005834ED"/>
    <w:rsid w:val="00583CA2"/>
    <w:rsid w:val="00584BB1"/>
    <w:rsid w:val="005940C0"/>
    <w:rsid w:val="0059473A"/>
    <w:rsid w:val="005A4055"/>
    <w:rsid w:val="005B0610"/>
    <w:rsid w:val="005B25EC"/>
    <w:rsid w:val="005B49B8"/>
    <w:rsid w:val="005B7CA3"/>
    <w:rsid w:val="005C19FF"/>
    <w:rsid w:val="005C4132"/>
    <w:rsid w:val="005C4BFE"/>
    <w:rsid w:val="005D40C6"/>
    <w:rsid w:val="005D4321"/>
    <w:rsid w:val="005D59B0"/>
    <w:rsid w:val="005E72E8"/>
    <w:rsid w:val="005E7645"/>
    <w:rsid w:val="005F454F"/>
    <w:rsid w:val="005F76FE"/>
    <w:rsid w:val="00601726"/>
    <w:rsid w:val="00604FE4"/>
    <w:rsid w:val="006073FC"/>
    <w:rsid w:val="00607ACC"/>
    <w:rsid w:val="00616088"/>
    <w:rsid w:val="006168B9"/>
    <w:rsid w:val="006179DE"/>
    <w:rsid w:val="00617B33"/>
    <w:rsid w:val="00617C19"/>
    <w:rsid w:val="00620FBA"/>
    <w:rsid w:val="00625FC3"/>
    <w:rsid w:val="00626E80"/>
    <w:rsid w:val="00631738"/>
    <w:rsid w:val="00634446"/>
    <w:rsid w:val="00634B4C"/>
    <w:rsid w:val="00641A71"/>
    <w:rsid w:val="0064291E"/>
    <w:rsid w:val="006442C1"/>
    <w:rsid w:val="00644A63"/>
    <w:rsid w:val="00651B84"/>
    <w:rsid w:val="0066258C"/>
    <w:rsid w:val="006725CB"/>
    <w:rsid w:val="00673190"/>
    <w:rsid w:val="0068027A"/>
    <w:rsid w:val="00681965"/>
    <w:rsid w:val="00682F0E"/>
    <w:rsid w:val="006858DE"/>
    <w:rsid w:val="00693334"/>
    <w:rsid w:val="00693720"/>
    <w:rsid w:val="00697065"/>
    <w:rsid w:val="006A1013"/>
    <w:rsid w:val="006A7916"/>
    <w:rsid w:val="006B3BED"/>
    <w:rsid w:val="006B408F"/>
    <w:rsid w:val="006C0433"/>
    <w:rsid w:val="006C12D9"/>
    <w:rsid w:val="006C4422"/>
    <w:rsid w:val="006D3F23"/>
    <w:rsid w:val="006D64B7"/>
    <w:rsid w:val="006F0D34"/>
    <w:rsid w:val="006F2D1A"/>
    <w:rsid w:val="00706D10"/>
    <w:rsid w:val="007125BD"/>
    <w:rsid w:val="00715787"/>
    <w:rsid w:val="00717FE9"/>
    <w:rsid w:val="00722CA2"/>
    <w:rsid w:val="00722EE4"/>
    <w:rsid w:val="007279C1"/>
    <w:rsid w:val="00733015"/>
    <w:rsid w:val="007330CC"/>
    <w:rsid w:val="0073646B"/>
    <w:rsid w:val="00743368"/>
    <w:rsid w:val="0074739C"/>
    <w:rsid w:val="0075168E"/>
    <w:rsid w:val="00753274"/>
    <w:rsid w:val="00765D1B"/>
    <w:rsid w:val="00766BF1"/>
    <w:rsid w:val="00770DCB"/>
    <w:rsid w:val="007773DE"/>
    <w:rsid w:val="00781D82"/>
    <w:rsid w:val="00797F18"/>
    <w:rsid w:val="007A0A8F"/>
    <w:rsid w:val="007A34AC"/>
    <w:rsid w:val="007A55B7"/>
    <w:rsid w:val="007A5AC3"/>
    <w:rsid w:val="007B0D0A"/>
    <w:rsid w:val="007B6BE4"/>
    <w:rsid w:val="007B6F0A"/>
    <w:rsid w:val="007C1232"/>
    <w:rsid w:val="007C3845"/>
    <w:rsid w:val="007C42DB"/>
    <w:rsid w:val="007C5AB8"/>
    <w:rsid w:val="007C7AC0"/>
    <w:rsid w:val="007D392B"/>
    <w:rsid w:val="007D4105"/>
    <w:rsid w:val="007E00CD"/>
    <w:rsid w:val="007E07F7"/>
    <w:rsid w:val="007E5AB7"/>
    <w:rsid w:val="007E5CA9"/>
    <w:rsid w:val="007E66AE"/>
    <w:rsid w:val="007F241A"/>
    <w:rsid w:val="007F4B51"/>
    <w:rsid w:val="007F56F9"/>
    <w:rsid w:val="007F65F2"/>
    <w:rsid w:val="00804688"/>
    <w:rsid w:val="00812056"/>
    <w:rsid w:val="00813D5F"/>
    <w:rsid w:val="00824458"/>
    <w:rsid w:val="00826849"/>
    <w:rsid w:val="00835F04"/>
    <w:rsid w:val="00835FCF"/>
    <w:rsid w:val="00836B1A"/>
    <w:rsid w:val="00845AF7"/>
    <w:rsid w:val="008508A0"/>
    <w:rsid w:val="00850B29"/>
    <w:rsid w:val="00857E87"/>
    <w:rsid w:val="008723BC"/>
    <w:rsid w:val="0087417D"/>
    <w:rsid w:val="00874F53"/>
    <w:rsid w:val="00877455"/>
    <w:rsid w:val="00882F84"/>
    <w:rsid w:val="00883BC6"/>
    <w:rsid w:val="00892EBC"/>
    <w:rsid w:val="008978B7"/>
    <w:rsid w:val="008A19E4"/>
    <w:rsid w:val="008B21F5"/>
    <w:rsid w:val="008D2089"/>
    <w:rsid w:val="008D2E80"/>
    <w:rsid w:val="008D7CF1"/>
    <w:rsid w:val="008D7E99"/>
    <w:rsid w:val="008E2C54"/>
    <w:rsid w:val="008E66A4"/>
    <w:rsid w:val="008F0554"/>
    <w:rsid w:val="008F1202"/>
    <w:rsid w:val="008F704E"/>
    <w:rsid w:val="009033DB"/>
    <w:rsid w:val="00904639"/>
    <w:rsid w:val="00914094"/>
    <w:rsid w:val="00914D08"/>
    <w:rsid w:val="00935F0C"/>
    <w:rsid w:val="00944399"/>
    <w:rsid w:val="00946A69"/>
    <w:rsid w:val="0095623B"/>
    <w:rsid w:val="0095625C"/>
    <w:rsid w:val="009603AA"/>
    <w:rsid w:val="0096133A"/>
    <w:rsid w:val="00961524"/>
    <w:rsid w:val="0097179E"/>
    <w:rsid w:val="00973295"/>
    <w:rsid w:val="0098061C"/>
    <w:rsid w:val="0098466B"/>
    <w:rsid w:val="0098708B"/>
    <w:rsid w:val="0099641E"/>
    <w:rsid w:val="009A0D6F"/>
    <w:rsid w:val="009C19FF"/>
    <w:rsid w:val="009C462F"/>
    <w:rsid w:val="009C7DFA"/>
    <w:rsid w:val="009D0BCE"/>
    <w:rsid w:val="009D3833"/>
    <w:rsid w:val="009E3B98"/>
    <w:rsid w:val="009F364C"/>
    <w:rsid w:val="009F5735"/>
    <w:rsid w:val="00A035BC"/>
    <w:rsid w:val="00A22E1D"/>
    <w:rsid w:val="00A279CB"/>
    <w:rsid w:val="00A35905"/>
    <w:rsid w:val="00A456CA"/>
    <w:rsid w:val="00A50CA6"/>
    <w:rsid w:val="00A51E01"/>
    <w:rsid w:val="00A6072C"/>
    <w:rsid w:val="00A6259C"/>
    <w:rsid w:val="00A65AB6"/>
    <w:rsid w:val="00A65D01"/>
    <w:rsid w:val="00A71AE7"/>
    <w:rsid w:val="00A7206F"/>
    <w:rsid w:val="00A727D4"/>
    <w:rsid w:val="00A93C76"/>
    <w:rsid w:val="00AA05D4"/>
    <w:rsid w:val="00AA4B36"/>
    <w:rsid w:val="00AA560A"/>
    <w:rsid w:val="00AA561A"/>
    <w:rsid w:val="00AA656C"/>
    <w:rsid w:val="00AA7199"/>
    <w:rsid w:val="00AB2967"/>
    <w:rsid w:val="00AB483F"/>
    <w:rsid w:val="00AC08FB"/>
    <w:rsid w:val="00AC2FE3"/>
    <w:rsid w:val="00AD1C25"/>
    <w:rsid w:val="00AD3C94"/>
    <w:rsid w:val="00AD5F94"/>
    <w:rsid w:val="00AE3D78"/>
    <w:rsid w:val="00AE5037"/>
    <w:rsid w:val="00AE708D"/>
    <w:rsid w:val="00AF0A1E"/>
    <w:rsid w:val="00AF14EB"/>
    <w:rsid w:val="00B037E7"/>
    <w:rsid w:val="00B076B8"/>
    <w:rsid w:val="00B20B5D"/>
    <w:rsid w:val="00B22AAC"/>
    <w:rsid w:val="00B2415B"/>
    <w:rsid w:val="00B24FAC"/>
    <w:rsid w:val="00B267F8"/>
    <w:rsid w:val="00B34EB6"/>
    <w:rsid w:val="00B366D4"/>
    <w:rsid w:val="00B42865"/>
    <w:rsid w:val="00B543BE"/>
    <w:rsid w:val="00B5679B"/>
    <w:rsid w:val="00B60518"/>
    <w:rsid w:val="00B6470A"/>
    <w:rsid w:val="00B64E22"/>
    <w:rsid w:val="00B65155"/>
    <w:rsid w:val="00B66BF2"/>
    <w:rsid w:val="00B700FA"/>
    <w:rsid w:val="00B70C2B"/>
    <w:rsid w:val="00B73909"/>
    <w:rsid w:val="00B73A52"/>
    <w:rsid w:val="00B76694"/>
    <w:rsid w:val="00B81134"/>
    <w:rsid w:val="00B83054"/>
    <w:rsid w:val="00B850B5"/>
    <w:rsid w:val="00B918F5"/>
    <w:rsid w:val="00B91F05"/>
    <w:rsid w:val="00B94A39"/>
    <w:rsid w:val="00BA730E"/>
    <w:rsid w:val="00BB0020"/>
    <w:rsid w:val="00BB1561"/>
    <w:rsid w:val="00BB2ABC"/>
    <w:rsid w:val="00BB2C00"/>
    <w:rsid w:val="00BB456E"/>
    <w:rsid w:val="00BD32F9"/>
    <w:rsid w:val="00BD3EAD"/>
    <w:rsid w:val="00BD4343"/>
    <w:rsid w:val="00BD5FF7"/>
    <w:rsid w:val="00BE084B"/>
    <w:rsid w:val="00BE235C"/>
    <w:rsid w:val="00BE2AA4"/>
    <w:rsid w:val="00BE2BF2"/>
    <w:rsid w:val="00BE7DC3"/>
    <w:rsid w:val="00BF08CE"/>
    <w:rsid w:val="00BF30B9"/>
    <w:rsid w:val="00BF4A24"/>
    <w:rsid w:val="00BF4CE7"/>
    <w:rsid w:val="00C010DD"/>
    <w:rsid w:val="00C011B4"/>
    <w:rsid w:val="00C059F2"/>
    <w:rsid w:val="00C069F9"/>
    <w:rsid w:val="00C12D9C"/>
    <w:rsid w:val="00C136A2"/>
    <w:rsid w:val="00C14999"/>
    <w:rsid w:val="00C14A89"/>
    <w:rsid w:val="00C204E5"/>
    <w:rsid w:val="00C211AD"/>
    <w:rsid w:val="00C2721D"/>
    <w:rsid w:val="00C30268"/>
    <w:rsid w:val="00C33690"/>
    <w:rsid w:val="00C33F2B"/>
    <w:rsid w:val="00C44098"/>
    <w:rsid w:val="00C61079"/>
    <w:rsid w:val="00C617E8"/>
    <w:rsid w:val="00C63661"/>
    <w:rsid w:val="00C63A02"/>
    <w:rsid w:val="00C666F0"/>
    <w:rsid w:val="00C72806"/>
    <w:rsid w:val="00C73FAF"/>
    <w:rsid w:val="00C777C8"/>
    <w:rsid w:val="00C779ED"/>
    <w:rsid w:val="00C824A6"/>
    <w:rsid w:val="00C85123"/>
    <w:rsid w:val="00C85EB0"/>
    <w:rsid w:val="00C918D7"/>
    <w:rsid w:val="00C936A5"/>
    <w:rsid w:val="00C97528"/>
    <w:rsid w:val="00CA5407"/>
    <w:rsid w:val="00CA54EC"/>
    <w:rsid w:val="00CB027A"/>
    <w:rsid w:val="00CB34B4"/>
    <w:rsid w:val="00CB62EB"/>
    <w:rsid w:val="00CC038E"/>
    <w:rsid w:val="00CC36A7"/>
    <w:rsid w:val="00CC381D"/>
    <w:rsid w:val="00CD1E3A"/>
    <w:rsid w:val="00CD2569"/>
    <w:rsid w:val="00CD48E4"/>
    <w:rsid w:val="00CE037A"/>
    <w:rsid w:val="00CE7704"/>
    <w:rsid w:val="00CF112B"/>
    <w:rsid w:val="00CF1E72"/>
    <w:rsid w:val="00CF55D7"/>
    <w:rsid w:val="00CF6A28"/>
    <w:rsid w:val="00CF7255"/>
    <w:rsid w:val="00CF7B93"/>
    <w:rsid w:val="00D03496"/>
    <w:rsid w:val="00D06388"/>
    <w:rsid w:val="00D0645E"/>
    <w:rsid w:val="00D064C2"/>
    <w:rsid w:val="00D067D1"/>
    <w:rsid w:val="00D07BA7"/>
    <w:rsid w:val="00D12EBA"/>
    <w:rsid w:val="00D20A61"/>
    <w:rsid w:val="00D22A58"/>
    <w:rsid w:val="00D258DE"/>
    <w:rsid w:val="00D27DA1"/>
    <w:rsid w:val="00D31F92"/>
    <w:rsid w:val="00D35E17"/>
    <w:rsid w:val="00D373C0"/>
    <w:rsid w:val="00D45752"/>
    <w:rsid w:val="00D467E6"/>
    <w:rsid w:val="00D46AFF"/>
    <w:rsid w:val="00D47549"/>
    <w:rsid w:val="00D55AEC"/>
    <w:rsid w:val="00D60C46"/>
    <w:rsid w:val="00D61EE8"/>
    <w:rsid w:val="00D646EE"/>
    <w:rsid w:val="00D66B5E"/>
    <w:rsid w:val="00D71063"/>
    <w:rsid w:val="00D715A5"/>
    <w:rsid w:val="00D723CC"/>
    <w:rsid w:val="00D747B4"/>
    <w:rsid w:val="00D96FE5"/>
    <w:rsid w:val="00DA1E72"/>
    <w:rsid w:val="00DB1886"/>
    <w:rsid w:val="00DB1A28"/>
    <w:rsid w:val="00DB2DC5"/>
    <w:rsid w:val="00DC4780"/>
    <w:rsid w:val="00DD1C8E"/>
    <w:rsid w:val="00DD6845"/>
    <w:rsid w:val="00DD7500"/>
    <w:rsid w:val="00DE165D"/>
    <w:rsid w:val="00DF1F46"/>
    <w:rsid w:val="00DF273A"/>
    <w:rsid w:val="00E0256F"/>
    <w:rsid w:val="00E060B8"/>
    <w:rsid w:val="00E14C56"/>
    <w:rsid w:val="00E25A90"/>
    <w:rsid w:val="00E35876"/>
    <w:rsid w:val="00E41634"/>
    <w:rsid w:val="00E42301"/>
    <w:rsid w:val="00E44F9F"/>
    <w:rsid w:val="00E46D28"/>
    <w:rsid w:val="00E500BC"/>
    <w:rsid w:val="00E52993"/>
    <w:rsid w:val="00E55367"/>
    <w:rsid w:val="00E60760"/>
    <w:rsid w:val="00E64B37"/>
    <w:rsid w:val="00E67F87"/>
    <w:rsid w:val="00E71F2D"/>
    <w:rsid w:val="00E74411"/>
    <w:rsid w:val="00E7753F"/>
    <w:rsid w:val="00E81A84"/>
    <w:rsid w:val="00E8465A"/>
    <w:rsid w:val="00E87821"/>
    <w:rsid w:val="00E90E43"/>
    <w:rsid w:val="00E91C66"/>
    <w:rsid w:val="00E927C5"/>
    <w:rsid w:val="00E96F71"/>
    <w:rsid w:val="00EA0CFA"/>
    <w:rsid w:val="00EA13C4"/>
    <w:rsid w:val="00EC013D"/>
    <w:rsid w:val="00EC09F8"/>
    <w:rsid w:val="00EC0F24"/>
    <w:rsid w:val="00EC6517"/>
    <w:rsid w:val="00ED09AB"/>
    <w:rsid w:val="00ED60AD"/>
    <w:rsid w:val="00ED766F"/>
    <w:rsid w:val="00EE17DF"/>
    <w:rsid w:val="00EE1DF2"/>
    <w:rsid w:val="00EE397C"/>
    <w:rsid w:val="00EE6C3B"/>
    <w:rsid w:val="00EF2188"/>
    <w:rsid w:val="00EF7033"/>
    <w:rsid w:val="00EF7773"/>
    <w:rsid w:val="00F12DF3"/>
    <w:rsid w:val="00F155CB"/>
    <w:rsid w:val="00F16B8B"/>
    <w:rsid w:val="00F16D96"/>
    <w:rsid w:val="00F212AE"/>
    <w:rsid w:val="00F21EE9"/>
    <w:rsid w:val="00F2263D"/>
    <w:rsid w:val="00F23598"/>
    <w:rsid w:val="00F24D96"/>
    <w:rsid w:val="00F40181"/>
    <w:rsid w:val="00F43C80"/>
    <w:rsid w:val="00F45736"/>
    <w:rsid w:val="00F45C7C"/>
    <w:rsid w:val="00F50BC0"/>
    <w:rsid w:val="00F51631"/>
    <w:rsid w:val="00F829EB"/>
    <w:rsid w:val="00F831D0"/>
    <w:rsid w:val="00F83C2B"/>
    <w:rsid w:val="00F844F4"/>
    <w:rsid w:val="00F84A64"/>
    <w:rsid w:val="00F90FE9"/>
    <w:rsid w:val="00F917FB"/>
    <w:rsid w:val="00FA031C"/>
    <w:rsid w:val="00FA320F"/>
    <w:rsid w:val="00FA3B1D"/>
    <w:rsid w:val="00FA69EE"/>
    <w:rsid w:val="00FA725A"/>
    <w:rsid w:val="00FB445C"/>
    <w:rsid w:val="00FB4EA5"/>
    <w:rsid w:val="00FB5269"/>
    <w:rsid w:val="00FD40C8"/>
    <w:rsid w:val="00FD4EFD"/>
    <w:rsid w:val="00FE49E1"/>
    <w:rsid w:val="00FE6CDA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A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A94"/>
    <w:rPr>
      <w:sz w:val="18"/>
      <w:szCs w:val="18"/>
    </w:rPr>
  </w:style>
  <w:style w:type="paragraph" w:customStyle="1" w:styleId="a5">
    <w:name w:val="大标题"/>
    <w:basedOn w:val="a"/>
    <w:uiPriority w:val="99"/>
    <w:rsid w:val="00004A94"/>
    <w:pPr>
      <w:spacing w:line="560" w:lineRule="exact"/>
      <w:jc w:val="center"/>
    </w:pPr>
    <w:rPr>
      <w:rFonts w:ascii="黑体" w:eastAsia="黑体" w:hAnsi="Times New Roman" w:cs="宋体"/>
      <w:sz w:val="36"/>
      <w:szCs w:val="20"/>
    </w:rPr>
  </w:style>
  <w:style w:type="paragraph" w:styleId="3">
    <w:name w:val="Body Text Indent 3"/>
    <w:basedOn w:val="a"/>
    <w:link w:val="3Char"/>
    <w:rsid w:val="00004A94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">
    <w:name w:val="正文文本缩进 3 Char"/>
    <w:basedOn w:val="a0"/>
    <w:link w:val="3"/>
    <w:rsid w:val="00004A94"/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GB2312TimesNewRoman2">
    <w:name w:val="样式 样式 仿宋_GB2312 + Times New Roman 首行缩进:  2 字符"/>
    <w:basedOn w:val="a"/>
    <w:rsid w:val="00004A94"/>
    <w:pPr>
      <w:ind w:firstLineChars="200" w:firstLine="640"/>
    </w:pPr>
    <w:rPr>
      <w:rFonts w:ascii="Times New Roman" w:eastAsia="仿宋_GB2312" w:hAnsi="Times New Roman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2493</Characters>
  <Application>Microsoft Office Word</Application>
  <DocSecurity>0</DocSecurity>
  <Lines>20</Lines>
  <Paragraphs>5</Paragraphs>
  <ScaleCrop>false</ScaleCrop>
  <Company>Lenovo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2021-10-12T02:46:00Z</dcterms:created>
  <dcterms:modified xsi:type="dcterms:W3CDTF">2021-10-12T02:58:00Z</dcterms:modified>
</cp:coreProperties>
</file>