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DF" w:rsidRDefault="00B24ADF" w:rsidP="00B24ADF">
      <w:pPr>
        <w:pStyle w:val="a5"/>
      </w:pPr>
      <w:r>
        <w:t>20</w:t>
      </w:r>
      <w:r>
        <w:rPr>
          <w:rFonts w:hint="eastAsia"/>
        </w:rPr>
        <w:t>20</w:t>
      </w:r>
      <w:r w:rsidRPr="00BC70EC">
        <w:rPr>
          <w:rFonts w:hint="eastAsia"/>
        </w:rPr>
        <w:t>年度全国饮</w:t>
      </w:r>
      <w:r>
        <w:rPr>
          <w:rFonts w:hint="eastAsia"/>
        </w:rPr>
        <w:t>水</w:t>
      </w:r>
      <w:r w:rsidRPr="00BC70EC">
        <w:rPr>
          <w:rFonts w:hint="eastAsia"/>
        </w:rPr>
        <w:t>型地方性</w:t>
      </w:r>
      <w:proofErr w:type="gramStart"/>
      <w:r>
        <w:rPr>
          <w:rFonts w:hint="eastAsia"/>
        </w:rPr>
        <w:t>砷</w:t>
      </w:r>
      <w:proofErr w:type="gramEnd"/>
      <w:r w:rsidRPr="00BC70EC">
        <w:rPr>
          <w:rFonts w:hint="eastAsia"/>
        </w:rPr>
        <w:t>中毒监测报告</w:t>
      </w:r>
      <w:r>
        <w:rPr>
          <w:rFonts w:hint="eastAsia"/>
        </w:rPr>
        <w:t>（摘要）</w:t>
      </w:r>
    </w:p>
    <w:p w:rsidR="00ED09AB" w:rsidRDefault="00ED09AB">
      <w:pPr>
        <w:rPr>
          <w:rFonts w:hint="eastAsia"/>
        </w:rPr>
      </w:pPr>
    </w:p>
    <w:p w:rsidR="00B24ADF" w:rsidRDefault="00B24ADF" w:rsidP="00B24ADF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kern w:val="0"/>
          <w:sz w:val="24"/>
        </w:rPr>
      </w:pPr>
      <w:r>
        <w:rPr>
          <w:rFonts w:hAnsi="宋体" w:hint="eastAsia"/>
          <w:bCs/>
          <w:kern w:val="0"/>
          <w:sz w:val="24"/>
        </w:rPr>
        <w:t>为全面落实《地方病防治专项三年攻坚行动方案（</w:t>
      </w:r>
      <w:r>
        <w:rPr>
          <w:rFonts w:hAnsi="宋体" w:hint="eastAsia"/>
          <w:bCs/>
          <w:kern w:val="0"/>
          <w:sz w:val="24"/>
        </w:rPr>
        <w:t>2018-2020</w:t>
      </w:r>
      <w:r>
        <w:rPr>
          <w:rFonts w:hAnsi="宋体" w:hint="eastAsia"/>
          <w:bCs/>
          <w:kern w:val="0"/>
          <w:sz w:val="24"/>
        </w:rPr>
        <w:t>年）》（国卫疾控发〔</w:t>
      </w:r>
      <w:r>
        <w:rPr>
          <w:rFonts w:hAnsi="宋体" w:hint="eastAsia"/>
          <w:bCs/>
          <w:kern w:val="0"/>
          <w:sz w:val="24"/>
        </w:rPr>
        <w:t>2018</w:t>
      </w:r>
      <w:r>
        <w:rPr>
          <w:rFonts w:hAnsi="宋体" w:hint="eastAsia"/>
          <w:bCs/>
          <w:kern w:val="0"/>
          <w:sz w:val="24"/>
        </w:rPr>
        <w:t>〕</w:t>
      </w:r>
      <w:r>
        <w:rPr>
          <w:rFonts w:hAnsi="宋体" w:hint="eastAsia"/>
          <w:bCs/>
          <w:kern w:val="0"/>
          <w:sz w:val="24"/>
        </w:rPr>
        <w:t>47</w:t>
      </w:r>
      <w:r>
        <w:rPr>
          <w:rFonts w:hAnsi="宋体" w:hint="eastAsia"/>
          <w:bCs/>
          <w:kern w:val="0"/>
          <w:sz w:val="24"/>
        </w:rPr>
        <w:t>号）疾病</w:t>
      </w:r>
      <w:proofErr w:type="gramStart"/>
      <w:r>
        <w:rPr>
          <w:rFonts w:hAnsi="宋体" w:hint="eastAsia"/>
          <w:bCs/>
          <w:kern w:val="0"/>
          <w:sz w:val="24"/>
        </w:rPr>
        <w:t>监测全</w:t>
      </w:r>
      <w:proofErr w:type="gramEnd"/>
      <w:r>
        <w:rPr>
          <w:rFonts w:hAnsi="宋体" w:hint="eastAsia"/>
          <w:bCs/>
          <w:kern w:val="0"/>
          <w:sz w:val="24"/>
        </w:rPr>
        <w:t>覆盖行动，了解和掌握全国饮水型砷中毒防治进展和现状，按照《国家卫生健康委办公厅关于印发大骨节病等重点地方病监测方案（</w:t>
      </w:r>
      <w:r>
        <w:rPr>
          <w:rFonts w:hAnsi="宋体" w:hint="eastAsia"/>
          <w:bCs/>
          <w:kern w:val="0"/>
          <w:sz w:val="24"/>
        </w:rPr>
        <w:t>2019</w:t>
      </w:r>
      <w:r>
        <w:rPr>
          <w:rFonts w:hAnsi="宋体" w:hint="eastAsia"/>
          <w:bCs/>
          <w:kern w:val="0"/>
          <w:sz w:val="24"/>
        </w:rPr>
        <w:t>版）的通知》的要求，全国</w:t>
      </w:r>
      <w:r>
        <w:rPr>
          <w:rFonts w:hAnsi="宋体" w:hint="eastAsia"/>
          <w:bCs/>
          <w:kern w:val="0"/>
          <w:sz w:val="24"/>
        </w:rPr>
        <w:t>14</w:t>
      </w:r>
      <w:r>
        <w:rPr>
          <w:rFonts w:hAnsi="宋体" w:hint="eastAsia"/>
          <w:bCs/>
          <w:kern w:val="0"/>
          <w:sz w:val="24"/>
        </w:rPr>
        <w:t>个省（自治区）于</w:t>
      </w:r>
      <w:r>
        <w:rPr>
          <w:rFonts w:hAnsi="宋体" w:hint="eastAsia"/>
          <w:bCs/>
          <w:kern w:val="0"/>
          <w:sz w:val="24"/>
        </w:rPr>
        <w:t>2020</w:t>
      </w:r>
      <w:r>
        <w:rPr>
          <w:rFonts w:hAnsi="宋体" w:hint="eastAsia"/>
          <w:bCs/>
          <w:kern w:val="0"/>
          <w:sz w:val="24"/>
        </w:rPr>
        <w:t>年</w:t>
      </w:r>
      <w:r>
        <w:rPr>
          <w:rFonts w:hAnsi="宋体" w:hint="eastAsia"/>
          <w:bCs/>
          <w:kern w:val="0"/>
          <w:sz w:val="24"/>
        </w:rPr>
        <w:t>3</w:t>
      </w:r>
      <w:r>
        <w:rPr>
          <w:rFonts w:hAnsi="宋体" w:hint="eastAsia"/>
          <w:bCs/>
          <w:kern w:val="0"/>
          <w:sz w:val="24"/>
        </w:rPr>
        <w:t>月至</w:t>
      </w:r>
      <w:r>
        <w:rPr>
          <w:rFonts w:hAnsi="宋体" w:hint="eastAsia"/>
          <w:bCs/>
          <w:kern w:val="0"/>
          <w:sz w:val="24"/>
        </w:rPr>
        <w:t>2020</w:t>
      </w:r>
      <w:r>
        <w:rPr>
          <w:rFonts w:hAnsi="宋体" w:hint="eastAsia"/>
          <w:bCs/>
          <w:kern w:val="0"/>
          <w:sz w:val="24"/>
        </w:rPr>
        <w:t>年</w:t>
      </w:r>
      <w:r>
        <w:rPr>
          <w:rFonts w:hAnsi="宋体" w:hint="eastAsia"/>
          <w:bCs/>
          <w:kern w:val="0"/>
          <w:sz w:val="24"/>
        </w:rPr>
        <w:t>10</w:t>
      </w:r>
      <w:r>
        <w:rPr>
          <w:rFonts w:hAnsi="宋体" w:hint="eastAsia"/>
          <w:bCs/>
          <w:kern w:val="0"/>
          <w:sz w:val="24"/>
        </w:rPr>
        <w:t>月组织开展了饮水型地方性</w:t>
      </w:r>
      <w:proofErr w:type="gramStart"/>
      <w:r>
        <w:rPr>
          <w:rFonts w:hAnsi="宋体" w:hint="eastAsia"/>
          <w:bCs/>
          <w:kern w:val="0"/>
          <w:sz w:val="24"/>
        </w:rPr>
        <w:t>砷</w:t>
      </w:r>
      <w:proofErr w:type="gramEnd"/>
      <w:r>
        <w:rPr>
          <w:rFonts w:hAnsi="宋体" w:hint="eastAsia"/>
          <w:bCs/>
          <w:kern w:val="0"/>
          <w:sz w:val="24"/>
        </w:rPr>
        <w:t>中毒全覆盖监测工作，现将结果报告如下。</w:t>
      </w:r>
    </w:p>
    <w:p w:rsidR="00B24ADF" w:rsidRDefault="00B24ADF" w:rsidP="00B24ADF">
      <w:pPr>
        <w:spacing w:line="360" w:lineRule="auto"/>
        <w:ind w:firstLineChars="200" w:firstLine="482"/>
        <w:rPr>
          <w:rFonts w:hAnsi="宋体" w:hint="eastAsia"/>
          <w:b/>
          <w:bCs/>
          <w:sz w:val="24"/>
        </w:rPr>
      </w:pPr>
      <w:r>
        <w:rPr>
          <w:rFonts w:hAnsi="宋体"/>
          <w:b/>
          <w:bCs/>
          <w:sz w:val="24"/>
        </w:rPr>
        <w:t>一、监测范围</w:t>
      </w:r>
      <w:r>
        <w:rPr>
          <w:rFonts w:hAnsi="宋体" w:hint="eastAsia"/>
          <w:b/>
          <w:bCs/>
          <w:sz w:val="24"/>
        </w:rPr>
        <w:t>与</w:t>
      </w:r>
      <w:r>
        <w:rPr>
          <w:rFonts w:hAnsi="宋体"/>
          <w:b/>
          <w:bCs/>
          <w:sz w:val="24"/>
        </w:rPr>
        <w:t>内容</w:t>
      </w:r>
    </w:p>
    <w:p w:rsidR="00B24ADF" w:rsidRDefault="00B24ADF" w:rsidP="00B24ADF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color w:val="auto"/>
          <w:sz w:val="24"/>
        </w:rPr>
      </w:pPr>
      <w:r>
        <w:rPr>
          <w:rFonts w:hAnsi="宋体"/>
          <w:bCs/>
          <w:color w:val="auto"/>
          <w:sz w:val="24"/>
        </w:rPr>
        <w:t>山西、内蒙古、吉林、江苏、安徽、</w:t>
      </w:r>
      <w:r>
        <w:rPr>
          <w:rFonts w:hAnsi="宋体" w:hint="eastAsia"/>
          <w:bCs/>
          <w:color w:val="auto"/>
          <w:sz w:val="24"/>
        </w:rPr>
        <w:t>河南、</w:t>
      </w:r>
      <w:r>
        <w:rPr>
          <w:rFonts w:hAnsi="宋体"/>
          <w:bCs/>
          <w:color w:val="auto"/>
          <w:sz w:val="24"/>
        </w:rPr>
        <w:t>湖北、</w:t>
      </w:r>
      <w:r>
        <w:rPr>
          <w:rFonts w:hAnsi="宋体" w:hint="eastAsia"/>
          <w:bCs/>
          <w:color w:val="auto"/>
          <w:sz w:val="24"/>
        </w:rPr>
        <w:t>四川、</w:t>
      </w:r>
      <w:r>
        <w:rPr>
          <w:rFonts w:hAnsi="宋体"/>
          <w:bCs/>
          <w:color w:val="auto"/>
          <w:sz w:val="24"/>
        </w:rPr>
        <w:t>云南、甘肃、青海、宁夏、新疆等</w:t>
      </w:r>
      <w:bookmarkStart w:id="0" w:name="_Hlk41942895"/>
      <w:r>
        <w:rPr>
          <w:bCs/>
          <w:color w:val="auto"/>
          <w:sz w:val="24"/>
        </w:rPr>
        <w:t>14</w:t>
      </w:r>
      <w:r>
        <w:rPr>
          <w:rFonts w:hAnsi="宋体"/>
          <w:bCs/>
          <w:color w:val="auto"/>
          <w:sz w:val="24"/>
        </w:rPr>
        <w:t>个省</w:t>
      </w:r>
      <w:r>
        <w:rPr>
          <w:rFonts w:hAnsi="宋体" w:hint="eastAsia"/>
          <w:bCs/>
          <w:kern w:val="0"/>
          <w:sz w:val="24"/>
        </w:rPr>
        <w:t>（自治区）</w:t>
      </w:r>
      <w:bookmarkEnd w:id="0"/>
      <w:r>
        <w:rPr>
          <w:rFonts w:hAnsi="宋体"/>
          <w:bCs/>
          <w:color w:val="auto"/>
          <w:sz w:val="24"/>
        </w:rPr>
        <w:t>的</w:t>
      </w:r>
      <w:r>
        <w:rPr>
          <w:rFonts w:hAnsi="宋体" w:hint="eastAsia"/>
          <w:bCs/>
          <w:color w:val="auto"/>
          <w:sz w:val="24"/>
        </w:rPr>
        <w:t>全部饮水型地方性</w:t>
      </w:r>
      <w:proofErr w:type="gramStart"/>
      <w:r>
        <w:rPr>
          <w:rFonts w:hAnsi="宋体"/>
          <w:bCs/>
          <w:color w:val="auto"/>
          <w:sz w:val="24"/>
        </w:rPr>
        <w:t>砷</w:t>
      </w:r>
      <w:proofErr w:type="gramEnd"/>
      <w:r>
        <w:rPr>
          <w:rFonts w:hAnsi="宋体"/>
          <w:bCs/>
          <w:color w:val="auto"/>
          <w:sz w:val="24"/>
        </w:rPr>
        <w:t>中毒</w:t>
      </w:r>
      <w:proofErr w:type="gramStart"/>
      <w:r>
        <w:rPr>
          <w:rFonts w:hAnsi="宋体"/>
          <w:bCs/>
          <w:color w:val="auto"/>
          <w:sz w:val="24"/>
        </w:rPr>
        <w:t>病区</w:t>
      </w:r>
      <w:r>
        <w:rPr>
          <w:rFonts w:hAnsi="宋体" w:hint="eastAsia"/>
          <w:bCs/>
          <w:color w:val="auto"/>
          <w:sz w:val="24"/>
        </w:rPr>
        <w:t>村</w:t>
      </w:r>
      <w:proofErr w:type="gramEnd"/>
      <w:r>
        <w:rPr>
          <w:rFonts w:hAnsi="宋体" w:hint="eastAsia"/>
          <w:bCs/>
          <w:color w:val="auto"/>
          <w:sz w:val="24"/>
        </w:rPr>
        <w:t>和高砷村。</w:t>
      </w:r>
    </w:p>
    <w:p w:rsidR="00B24ADF" w:rsidRDefault="00B24ADF" w:rsidP="00B24ADF">
      <w:pPr>
        <w:spacing w:line="360" w:lineRule="auto"/>
        <w:rPr>
          <w:rFonts w:eastAsia="宋体" w:hAnsi="宋体" w:cs="Times New Roman" w:hint="eastAsia"/>
          <w:sz w:val="24"/>
          <w:szCs w:val="24"/>
        </w:rPr>
      </w:pPr>
      <w:r>
        <w:rPr>
          <w:rFonts w:hint="eastAsia"/>
        </w:rPr>
        <w:t>调查</w:t>
      </w:r>
      <w:r>
        <w:rPr>
          <w:rFonts w:eastAsia="宋体" w:hAnsi="宋体" w:cs="Times New Roman" w:hint="eastAsia"/>
          <w:sz w:val="24"/>
          <w:szCs w:val="24"/>
        </w:rPr>
        <w:t>县、乡（镇）、村名称及代码、县人口数、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病区村</w:t>
      </w:r>
      <w:proofErr w:type="gramEnd"/>
      <w:r>
        <w:rPr>
          <w:rFonts w:eastAsia="宋体" w:hAnsi="宋体" w:cs="Times New Roman" w:hint="eastAsia"/>
          <w:sz w:val="24"/>
          <w:szCs w:val="24"/>
        </w:rPr>
        <w:t>常住户数、常住人口数、历史（改水之前）水砷含量等。</w:t>
      </w:r>
      <w:r w:rsidRPr="00004A94">
        <w:rPr>
          <w:rFonts w:ascii="Times New Roman" w:eastAsia="宋体" w:hAnsi="宋体" w:cs="Times New Roman" w:hint="eastAsia"/>
          <w:bCs/>
          <w:kern w:val="0"/>
          <w:sz w:val="24"/>
          <w:szCs w:val="24"/>
        </w:rPr>
        <w:t>调查改水村改水工程运行情况及水</w:t>
      </w:r>
      <w:r>
        <w:rPr>
          <w:rFonts w:ascii="Times New Roman" w:eastAsia="宋体" w:hAnsi="宋体" w:cs="Times New Roman" w:hint="eastAsia"/>
          <w:bCs/>
          <w:kern w:val="0"/>
          <w:sz w:val="24"/>
          <w:szCs w:val="24"/>
        </w:rPr>
        <w:t>砷</w:t>
      </w:r>
      <w:r w:rsidRPr="00004A94">
        <w:rPr>
          <w:rFonts w:ascii="Times New Roman" w:eastAsia="宋体" w:hAnsi="宋体" w:cs="Times New Roman" w:hint="eastAsia"/>
          <w:bCs/>
          <w:kern w:val="0"/>
          <w:sz w:val="24"/>
          <w:szCs w:val="24"/>
        </w:rPr>
        <w:t>含量，检测未改水村饮水含</w:t>
      </w:r>
      <w:r>
        <w:rPr>
          <w:rFonts w:ascii="Times New Roman" w:eastAsia="宋体" w:hAnsi="宋体" w:cs="Times New Roman" w:hint="eastAsia"/>
          <w:bCs/>
          <w:kern w:val="0"/>
          <w:sz w:val="24"/>
          <w:szCs w:val="24"/>
        </w:rPr>
        <w:t>砷</w:t>
      </w:r>
      <w:r w:rsidRPr="00004A94">
        <w:rPr>
          <w:rFonts w:ascii="Times New Roman" w:eastAsia="宋体" w:hAnsi="宋体" w:cs="Times New Roman" w:hint="eastAsia"/>
          <w:bCs/>
          <w:kern w:val="0"/>
          <w:sz w:val="24"/>
          <w:szCs w:val="24"/>
        </w:rPr>
        <w:t>量。</w:t>
      </w:r>
      <w:r>
        <w:rPr>
          <w:rFonts w:eastAsia="宋体" w:hAnsi="宋体" w:cs="Times New Roman" w:hint="eastAsia"/>
          <w:sz w:val="24"/>
          <w:szCs w:val="24"/>
        </w:rPr>
        <w:t>检查所有正在和（或）曾经暴露于高砷水的常住人口，体检率不低于</w:t>
      </w:r>
      <w:r>
        <w:rPr>
          <w:rFonts w:eastAsia="宋体" w:hAnsi="宋体" w:cs="Times New Roman" w:hint="eastAsia"/>
          <w:sz w:val="24"/>
          <w:szCs w:val="24"/>
        </w:rPr>
        <w:t>95%</w:t>
      </w:r>
      <w:r>
        <w:rPr>
          <w:rFonts w:eastAsia="宋体" w:hAnsi="宋体" w:cs="Times New Roman" w:hint="eastAsia"/>
          <w:sz w:val="24"/>
          <w:szCs w:val="24"/>
        </w:rPr>
        <w:t>。</w:t>
      </w:r>
    </w:p>
    <w:p w:rsidR="00B24ADF" w:rsidRPr="00E43F59" w:rsidRDefault="00B24ADF" w:rsidP="00B24ADF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二、监测结果</w:t>
      </w:r>
    </w:p>
    <w:p w:rsidR="00B24ADF" w:rsidRDefault="00B24ADF" w:rsidP="00B24ADF">
      <w:pPr>
        <w:pStyle w:val="3"/>
        <w:adjustRightInd w:val="0"/>
        <w:snapToGrid w:val="0"/>
        <w:spacing w:line="360" w:lineRule="auto"/>
        <w:ind w:firstLineChars="150" w:firstLine="361"/>
        <w:outlineLvl w:val="0"/>
        <w:rPr>
          <w:rFonts w:hAnsi="宋体"/>
          <w:b/>
          <w:bCs/>
          <w:color w:val="auto"/>
          <w:sz w:val="24"/>
        </w:rPr>
      </w:pPr>
      <w:r>
        <w:rPr>
          <w:rFonts w:hAnsi="宋体"/>
          <w:b/>
          <w:bCs/>
          <w:color w:val="auto"/>
          <w:sz w:val="24"/>
        </w:rPr>
        <w:t>（一）</w:t>
      </w:r>
      <w:r>
        <w:rPr>
          <w:rFonts w:hAnsi="宋体" w:hint="eastAsia"/>
          <w:b/>
          <w:bCs/>
          <w:color w:val="auto"/>
          <w:sz w:val="24"/>
        </w:rPr>
        <w:t>饮水型砷中毒监测村改水进度及水砷含量</w:t>
      </w:r>
    </w:p>
    <w:p w:rsidR="00B24ADF" w:rsidRDefault="00B24ADF" w:rsidP="00B24ADF">
      <w:pPr>
        <w:spacing w:line="360" w:lineRule="auto"/>
        <w:ind w:firstLineChars="200" w:firstLine="480"/>
        <w:rPr>
          <w:rFonts w:hAnsi="宋体" w:hint="eastAsia"/>
          <w:bCs/>
          <w:sz w:val="24"/>
        </w:rPr>
      </w:pPr>
      <w:r>
        <w:rPr>
          <w:rFonts w:hAnsi="宋体" w:hint="eastAsia"/>
          <w:bCs/>
          <w:sz w:val="24"/>
        </w:rPr>
        <w:t>本年度</w:t>
      </w:r>
      <w:r>
        <w:rPr>
          <w:rFonts w:hAnsi="宋体" w:hint="eastAsia"/>
          <w:bCs/>
          <w:sz w:val="24"/>
        </w:rPr>
        <w:t>1</w:t>
      </w:r>
      <w:r>
        <w:rPr>
          <w:rFonts w:hAnsi="宋体"/>
          <w:bCs/>
          <w:sz w:val="24"/>
        </w:rPr>
        <w:t>4</w:t>
      </w:r>
      <w:r>
        <w:rPr>
          <w:rFonts w:hAnsi="宋体" w:hint="eastAsia"/>
          <w:bCs/>
          <w:sz w:val="24"/>
        </w:rPr>
        <w:t>个省（自治区）共监测</w:t>
      </w:r>
      <w:r>
        <w:rPr>
          <w:rFonts w:hAnsi="宋体" w:hint="eastAsia"/>
          <w:bCs/>
          <w:sz w:val="24"/>
        </w:rPr>
        <w:t>121</w:t>
      </w:r>
      <w:r>
        <w:rPr>
          <w:rFonts w:hAnsi="宋体" w:hint="eastAsia"/>
          <w:bCs/>
          <w:sz w:val="24"/>
        </w:rPr>
        <w:t>个县，覆盖了</w:t>
      </w:r>
      <w:r>
        <w:rPr>
          <w:rFonts w:hAnsi="宋体" w:hint="eastAsia"/>
          <w:bCs/>
          <w:sz w:val="24"/>
        </w:rPr>
        <w:t>2559</w:t>
      </w:r>
      <w:r>
        <w:rPr>
          <w:rFonts w:hAnsi="宋体" w:hint="eastAsia"/>
          <w:bCs/>
          <w:sz w:val="24"/>
        </w:rPr>
        <w:t>个自然村，有常住户数</w:t>
      </w:r>
      <w:r>
        <w:rPr>
          <w:rFonts w:hAnsi="宋体" w:hint="eastAsia"/>
          <w:bCs/>
          <w:sz w:val="24"/>
        </w:rPr>
        <w:t>40.56</w:t>
      </w:r>
      <w:r>
        <w:rPr>
          <w:rFonts w:hAnsi="宋体" w:hint="eastAsia"/>
          <w:bCs/>
          <w:sz w:val="24"/>
        </w:rPr>
        <w:t>万户，常住人口</w:t>
      </w:r>
      <w:r>
        <w:rPr>
          <w:rFonts w:hAnsi="宋体" w:hint="eastAsia"/>
          <w:bCs/>
          <w:sz w:val="24"/>
        </w:rPr>
        <w:t>142.87</w:t>
      </w:r>
      <w:r>
        <w:rPr>
          <w:rFonts w:hAnsi="宋体" w:hint="eastAsia"/>
          <w:bCs/>
          <w:sz w:val="24"/>
        </w:rPr>
        <w:t>万人。已改水村</w:t>
      </w:r>
      <w:r>
        <w:rPr>
          <w:rFonts w:hAnsi="宋体" w:hint="eastAsia"/>
          <w:bCs/>
          <w:sz w:val="24"/>
        </w:rPr>
        <w:t>2538</w:t>
      </w:r>
      <w:r>
        <w:rPr>
          <w:rFonts w:hAnsi="宋体" w:hint="eastAsia"/>
          <w:bCs/>
          <w:sz w:val="24"/>
        </w:rPr>
        <w:t>个，占监测村数的</w:t>
      </w:r>
      <w:r>
        <w:rPr>
          <w:rFonts w:hAnsi="宋体" w:hint="eastAsia"/>
          <w:bCs/>
          <w:sz w:val="24"/>
        </w:rPr>
        <w:t>99.18</w:t>
      </w:r>
      <w:r>
        <w:rPr>
          <w:rFonts w:hAnsi="宋体"/>
          <w:bCs/>
          <w:sz w:val="24"/>
        </w:rPr>
        <w:t>%</w:t>
      </w:r>
      <w:r>
        <w:rPr>
          <w:rFonts w:hAnsi="宋体" w:hint="eastAsia"/>
          <w:bCs/>
          <w:sz w:val="24"/>
        </w:rPr>
        <w:t>；未改水村</w:t>
      </w:r>
      <w:r>
        <w:rPr>
          <w:rFonts w:hAnsi="宋体" w:hint="eastAsia"/>
          <w:bCs/>
          <w:sz w:val="24"/>
        </w:rPr>
        <w:t>21</w:t>
      </w:r>
      <w:r>
        <w:rPr>
          <w:rFonts w:hAnsi="宋体" w:hint="eastAsia"/>
          <w:bCs/>
          <w:sz w:val="24"/>
        </w:rPr>
        <w:t>个，占监测村数的</w:t>
      </w:r>
      <w:r>
        <w:rPr>
          <w:rFonts w:hAnsi="宋体" w:hint="eastAsia"/>
          <w:bCs/>
          <w:sz w:val="24"/>
        </w:rPr>
        <w:t>0.82</w:t>
      </w:r>
      <w:r>
        <w:rPr>
          <w:rFonts w:hAnsi="宋体"/>
          <w:bCs/>
          <w:sz w:val="24"/>
        </w:rPr>
        <w:t>%</w:t>
      </w:r>
      <w:r>
        <w:rPr>
          <w:rFonts w:hAnsi="宋体" w:hint="eastAsia"/>
          <w:bCs/>
          <w:sz w:val="24"/>
        </w:rPr>
        <w:t>。改水率除内蒙古（</w:t>
      </w:r>
      <w:r>
        <w:rPr>
          <w:rFonts w:hAnsi="宋体" w:hint="eastAsia"/>
          <w:bCs/>
          <w:sz w:val="24"/>
        </w:rPr>
        <w:t>98.21%</w:t>
      </w:r>
      <w:r>
        <w:rPr>
          <w:rFonts w:hAnsi="宋体" w:hint="eastAsia"/>
          <w:bCs/>
          <w:sz w:val="24"/>
        </w:rPr>
        <w:t>）外，其他各省（自治区）均已达到</w:t>
      </w:r>
      <w:r>
        <w:rPr>
          <w:rFonts w:hAnsi="宋体" w:hint="eastAsia"/>
          <w:bCs/>
          <w:sz w:val="24"/>
        </w:rPr>
        <w:t>100%</w:t>
      </w:r>
      <w:r>
        <w:rPr>
          <w:rFonts w:hAnsi="宋体" w:hint="eastAsia"/>
          <w:bCs/>
          <w:sz w:val="24"/>
        </w:rPr>
        <w:t>。在</w:t>
      </w:r>
      <w:r>
        <w:rPr>
          <w:rFonts w:hAnsi="宋体" w:hint="eastAsia"/>
          <w:bCs/>
          <w:sz w:val="24"/>
        </w:rPr>
        <w:t>2538</w:t>
      </w:r>
      <w:r>
        <w:rPr>
          <w:rFonts w:hAnsi="宋体" w:hint="eastAsia"/>
          <w:bCs/>
          <w:sz w:val="24"/>
        </w:rPr>
        <w:t>个改水村中，改水工程正常运转的村数</w:t>
      </w:r>
      <w:r>
        <w:rPr>
          <w:rFonts w:hAnsi="宋体" w:hint="eastAsia"/>
          <w:bCs/>
          <w:sz w:val="24"/>
        </w:rPr>
        <w:t>2526</w:t>
      </w:r>
      <w:r>
        <w:rPr>
          <w:rFonts w:hAnsi="宋体" w:hint="eastAsia"/>
          <w:bCs/>
          <w:sz w:val="24"/>
        </w:rPr>
        <w:t>个，占改水村的</w:t>
      </w:r>
      <w:r>
        <w:rPr>
          <w:rFonts w:hAnsi="宋体" w:hint="eastAsia"/>
          <w:bCs/>
          <w:sz w:val="24"/>
        </w:rPr>
        <w:t>99.53</w:t>
      </w:r>
      <w:r>
        <w:rPr>
          <w:rFonts w:hAnsi="宋体" w:hint="eastAsia"/>
          <w:bCs/>
          <w:sz w:val="24"/>
        </w:rPr>
        <w:t>％；改水工程间歇运转的村数</w:t>
      </w:r>
      <w:r>
        <w:rPr>
          <w:rFonts w:hAnsi="宋体" w:hint="eastAsia"/>
          <w:bCs/>
          <w:sz w:val="24"/>
        </w:rPr>
        <w:t>9</w:t>
      </w:r>
      <w:r>
        <w:rPr>
          <w:rFonts w:hAnsi="宋体" w:hint="eastAsia"/>
          <w:bCs/>
          <w:sz w:val="24"/>
        </w:rPr>
        <w:t>个，改水工程报废的村数</w:t>
      </w:r>
      <w:r>
        <w:rPr>
          <w:rFonts w:hAnsi="宋体" w:hint="eastAsia"/>
          <w:bCs/>
          <w:sz w:val="24"/>
        </w:rPr>
        <w:t>3</w:t>
      </w:r>
      <w:r>
        <w:rPr>
          <w:rFonts w:hAnsi="宋体" w:hint="eastAsia"/>
          <w:bCs/>
          <w:sz w:val="24"/>
        </w:rPr>
        <w:t>个。改水工程间歇运转的村分布于内蒙古（</w:t>
      </w:r>
      <w:r>
        <w:rPr>
          <w:rFonts w:hAnsi="宋体" w:hint="eastAsia"/>
          <w:bCs/>
          <w:sz w:val="24"/>
        </w:rPr>
        <w:t>6</w:t>
      </w:r>
      <w:r>
        <w:rPr>
          <w:rFonts w:hAnsi="宋体" w:hint="eastAsia"/>
          <w:bCs/>
          <w:sz w:val="24"/>
        </w:rPr>
        <w:t>个）、甘肃（</w:t>
      </w:r>
      <w:r>
        <w:rPr>
          <w:rFonts w:hAnsi="宋体" w:hint="eastAsia"/>
          <w:bCs/>
          <w:sz w:val="24"/>
        </w:rPr>
        <w:t>1</w:t>
      </w:r>
      <w:r>
        <w:rPr>
          <w:rFonts w:hAnsi="宋体" w:hint="eastAsia"/>
          <w:bCs/>
          <w:sz w:val="24"/>
        </w:rPr>
        <w:t>个）和新疆（</w:t>
      </w:r>
      <w:r>
        <w:rPr>
          <w:rFonts w:hAnsi="宋体" w:hint="eastAsia"/>
          <w:bCs/>
          <w:sz w:val="24"/>
        </w:rPr>
        <w:t>2</w:t>
      </w:r>
      <w:r>
        <w:rPr>
          <w:rFonts w:hAnsi="宋体" w:hint="eastAsia"/>
          <w:bCs/>
          <w:sz w:val="24"/>
        </w:rPr>
        <w:t>个），改水工程报废的村分布于内蒙古（</w:t>
      </w:r>
      <w:r>
        <w:rPr>
          <w:rFonts w:hAnsi="宋体" w:hint="eastAsia"/>
          <w:bCs/>
          <w:sz w:val="24"/>
        </w:rPr>
        <w:t>3</w:t>
      </w:r>
      <w:r>
        <w:rPr>
          <w:rFonts w:hAnsi="宋体" w:hint="eastAsia"/>
          <w:bCs/>
          <w:sz w:val="24"/>
        </w:rPr>
        <w:t>个）。改水工程正常运转率除内蒙古（</w:t>
      </w:r>
      <w:r>
        <w:rPr>
          <w:rFonts w:hAnsi="宋体" w:hint="eastAsia"/>
          <w:bCs/>
          <w:sz w:val="24"/>
        </w:rPr>
        <w:t>99.22%</w:t>
      </w:r>
      <w:r>
        <w:rPr>
          <w:rFonts w:hAnsi="宋体" w:hint="eastAsia"/>
          <w:bCs/>
          <w:sz w:val="24"/>
        </w:rPr>
        <w:t>）、甘肃（</w:t>
      </w:r>
      <w:r>
        <w:rPr>
          <w:rFonts w:hAnsi="宋体" w:hint="eastAsia"/>
          <w:bCs/>
          <w:sz w:val="24"/>
        </w:rPr>
        <w:t>98.55%</w:t>
      </w:r>
      <w:r>
        <w:rPr>
          <w:rFonts w:hAnsi="宋体" w:hint="eastAsia"/>
          <w:bCs/>
          <w:sz w:val="24"/>
        </w:rPr>
        <w:t>）和新疆（</w:t>
      </w:r>
      <w:r>
        <w:rPr>
          <w:rFonts w:hAnsi="宋体" w:hint="eastAsia"/>
          <w:bCs/>
          <w:sz w:val="24"/>
        </w:rPr>
        <w:t>99.48%</w:t>
      </w:r>
      <w:r>
        <w:rPr>
          <w:rFonts w:hAnsi="宋体" w:hint="eastAsia"/>
          <w:bCs/>
          <w:sz w:val="24"/>
        </w:rPr>
        <w:t>）外，其他各省（自治区）均达到</w:t>
      </w:r>
      <w:r>
        <w:rPr>
          <w:rFonts w:hAnsi="宋体" w:hint="eastAsia"/>
          <w:bCs/>
          <w:sz w:val="24"/>
        </w:rPr>
        <w:t>100%</w:t>
      </w:r>
      <w:r>
        <w:rPr>
          <w:rFonts w:hAnsi="宋体" w:hint="eastAsia"/>
          <w:bCs/>
          <w:sz w:val="24"/>
        </w:rPr>
        <w:t>。</w:t>
      </w:r>
    </w:p>
    <w:p w:rsidR="00B24ADF" w:rsidRDefault="00B24ADF" w:rsidP="00B24ADF">
      <w:pPr>
        <w:spacing w:line="360" w:lineRule="auto"/>
        <w:ind w:firstLineChars="200" w:firstLine="480"/>
        <w:rPr>
          <w:rFonts w:hAnsi="宋体" w:hint="eastAsia"/>
          <w:bCs/>
          <w:sz w:val="24"/>
        </w:rPr>
      </w:pPr>
      <w:r>
        <w:rPr>
          <w:rFonts w:hAnsi="宋体"/>
          <w:bCs/>
          <w:sz w:val="24"/>
        </w:rPr>
        <w:t>本年度共监测</w:t>
      </w:r>
      <w:r>
        <w:rPr>
          <w:rFonts w:hAnsi="宋体" w:hint="eastAsia"/>
          <w:bCs/>
          <w:sz w:val="24"/>
        </w:rPr>
        <w:t>2538</w:t>
      </w:r>
      <w:r>
        <w:rPr>
          <w:rFonts w:hAnsi="宋体"/>
          <w:bCs/>
          <w:sz w:val="24"/>
        </w:rPr>
        <w:t>个改水村，</w:t>
      </w:r>
      <w:r>
        <w:rPr>
          <w:rFonts w:hAnsi="宋体" w:hint="eastAsia"/>
          <w:bCs/>
          <w:sz w:val="24"/>
        </w:rPr>
        <w:t>其中水砷含量合格的村数为</w:t>
      </w:r>
      <w:r>
        <w:rPr>
          <w:rFonts w:hAnsi="宋体" w:hint="eastAsia"/>
          <w:bCs/>
          <w:sz w:val="24"/>
        </w:rPr>
        <w:t>2535</w:t>
      </w:r>
      <w:r>
        <w:rPr>
          <w:rFonts w:hAnsi="宋体" w:hint="eastAsia"/>
          <w:bCs/>
          <w:sz w:val="24"/>
        </w:rPr>
        <w:t>个，合格率为</w:t>
      </w:r>
      <w:r>
        <w:rPr>
          <w:rFonts w:hAnsi="宋体" w:hint="eastAsia"/>
          <w:bCs/>
          <w:sz w:val="24"/>
        </w:rPr>
        <w:t>99.88%</w:t>
      </w:r>
      <w:r>
        <w:rPr>
          <w:rFonts w:hAnsi="宋体" w:hint="eastAsia"/>
          <w:bCs/>
          <w:sz w:val="24"/>
        </w:rPr>
        <w:t>，实际受益人口数为</w:t>
      </w:r>
      <w:r>
        <w:rPr>
          <w:rFonts w:hAnsi="宋体" w:hint="eastAsia"/>
          <w:bCs/>
          <w:sz w:val="24"/>
        </w:rPr>
        <w:t>145.53</w:t>
      </w:r>
      <w:r>
        <w:rPr>
          <w:rFonts w:hAnsi="宋体" w:hint="eastAsia"/>
          <w:bCs/>
          <w:sz w:val="24"/>
        </w:rPr>
        <w:t>万人。水砷超标的村分布于内蒙古（</w:t>
      </w:r>
      <w:r>
        <w:rPr>
          <w:rFonts w:hAnsi="宋体" w:hint="eastAsia"/>
          <w:bCs/>
          <w:sz w:val="24"/>
        </w:rPr>
        <w:t>2</w:t>
      </w:r>
      <w:r>
        <w:rPr>
          <w:rFonts w:hAnsi="宋体" w:hint="eastAsia"/>
          <w:bCs/>
          <w:sz w:val="24"/>
        </w:rPr>
        <w:t>个）和新疆（</w:t>
      </w:r>
      <w:r>
        <w:rPr>
          <w:rFonts w:hAnsi="宋体" w:hint="eastAsia"/>
          <w:bCs/>
          <w:sz w:val="24"/>
        </w:rPr>
        <w:t>1</w:t>
      </w:r>
      <w:r>
        <w:rPr>
          <w:rFonts w:hAnsi="宋体" w:hint="eastAsia"/>
          <w:bCs/>
          <w:sz w:val="24"/>
        </w:rPr>
        <w:t>个）。水砷合格率除内蒙古（</w:t>
      </w:r>
      <w:r>
        <w:rPr>
          <w:rFonts w:hAnsi="宋体" w:hint="eastAsia"/>
          <w:bCs/>
          <w:sz w:val="24"/>
        </w:rPr>
        <w:t>99.83%</w:t>
      </w:r>
      <w:r>
        <w:rPr>
          <w:rFonts w:hAnsi="宋体" w:hint="eastAsia"/>
          <w:bCs/>
          <w:sz w:val="24"/>
        </w:rPr>
        <w:t>）和新疆（</w:t>
      </w:r>
      <w:r>
        <w:rPr>
          <w:rFonts w:hAnsi="宋体" w:hint="eastAsia"/>
          <w:bCs/>
          <w:sz w:val="24"/>
        </w:rPr>
        <w:t>99.74%</w:t>
      </w:r>
      <w:r>
        <w:rPr>
          <w:rFonts w:hAnsi="宋体" w:hint="eastAsia"/>
          <w:bCs/>
          <w:sz w:val="24"/>
        </w:rPr>
        <w:t>）外，其他各省（自治区）均达到</w:t>
      </w:r>
      <w:r>
        <w:rPr>
          <w:rFonts w:hAnsi="宋体" w:hint="eastAsia"/>
          <w:bCs/>
          <w:sz w:val="24"/>
        </w:rPr>
        <w:t>100%</w:t>
      </w:r>
      <w:r>
        <w:rPr>
          <w:rFonts w:hAnsi="宋体" w:hint="eastAsia"/>
          <w:bCs/>
          <w:sz w:val="24"/>
        </w:rPr>
        <w:t>。</w:t>
      </w:r>
    </w:p>
    <w:p w:rsidR="00C6743E" w:rsidRDefault="00C6743E" w:rsidP="00C6743E">
      <w:pPr>
        <w:pStyle w:val="3"/>
        <w:adjustRightInd w:val="0"/>
        <w:snapToGrid w:val="0"/>
        <w:spacing w:line="360" w:lineRule="auto"/>
        <w:ind w:firstLine="480"/>
        <w:rPr>
          <w:rFonts w:hAnsi="宋体" w:hint="eastAsia"/>
          <w:bCs/>
          <w:color w:val="auto"/>
          <w:sz w:val="24"/>
        </w:rPr>
      </w:pPr>
      <w:r>
        <w:rPr>
          <w:rFonts w:hAnsi="宋体"/>
          <w:bCs/>
          <w:color w:val="auto"/>
          <w:sz w:val="24"/>
        </w:rPr>
        <w:lastRenderedPageBreak/>
        <w:t>本年度共监测未改水村</w:t>
      </w:r>
      <w:r>
        <w:rPr>
          <w:rFonts w:hAnsi="宋体" w:hint="eastAsia"/>
          <w:bCs/>
          <w:color w:val="auto"/>
          <w:sz w:val="24"/>
        </w:rPr>
        <w:t>21</w:t>
      </w:r>
      <w:r>
        <w:rPr>
          <w:rFonts w:hAnsi="宋体"/>
          <w:bCs/>
          <w:color w:val="auto"/>
          <w:sz w:val="24"/>
        </w:rPr>
        <w:t>个，</w:t>
      </w:r>
      <w:r>
        <w:rPr>
          <w:rFonts w:hAnsi="宋体" w:hint="eastAsia"/>
          <w:bCs/>
          <w:color w:val="auto"/>
          <w:sz w:val="24"/>
        </w:rPr>
        <w:t>分布于内蒙古的</w:t>
      </w:r>
      <w:r>
        <w:rPr>
          <w:rFonts w:hAnsi="宋体" w:hint="eastAsia"/>
          <w:bCs/>
          <w:color w:val="auto"/>
          <w:sz w:val="24"/>
        </w:rPr>
        <w:t>5</w:t>
      </w:r>
      <w:r>
        <w:rPr>
          <w:rFonts w:hAnsi="宋体" w:hint="eastAsia"/>
          <w:bCs/>
          <w:color w:val="auto"/>
          <w:sz w:val="24"/>
        </w:rPr>
        <w:t>个县，涉及</w:t>
      </w:r>
      <w:r>
        <w:rPr>
          <w:rFonts w:hAnsi="宋体" w:hint="eastAsia"/>
          <w:bCs/>
          <w:color w:val="auto"/>
          <w:sz w:val="24"/>
        </w:rPr>
        <w:t>128</w:t>
      </w:r>
      <w:r>
        <w:rPr>
          <w:rFonts w:hAnsi="宋体" w:hint="eastAsia"/>
          <w:bCs/>
          <w:color w:val="auto"/>
          <w:sz w:val="24"/>
        </w:rPr>
        <w:t>户，水砷浓度≤</w:t>
      </w:r>
      <w:r>
        <w:rPr>
          <w:rFonts w:hAnsi="宋体" w:hint="eastAsia"/>
          <w:bCs/>
          <w:color w:val="auto"/>
          <w:sz w:val="24"/>
        </w:rPr>
        <w:t>0.01mg/L</w:t>
      </w:r>
      <w:r>
        <w:rPr>
          <w:rFonts w:hAnsi="宋体" w:hint="eastAsia"/>
          <w:bCs/>
          <w:color w:val="auto"/>
          <w:sz w:val="24"/>
        </w:rPr>
        <w:t>的户数为</w:t>
      </w:r>
      <w:r>
        <w:rPr>
          <w:rFonts w:hAnsi="宋体" w:hint="eastAsia"/>
          <w:bCs/>
          <w:color w:val="auto"/>
          <w:sz w:val="24"/>
        </w:rPr>
        <w:t>123</w:t>
      </w:r>
      <w:r>
        <w:rPr>
          <w:rFonts w:hAnsi="宋体" w:hint="eastAsia"/>
          <w:bCs/>
          <w:color w:val="auto"/>
          <w:sz w:val="24"/>
        </w:rPr>
        <w:t>户，水砷浓度</w:t>
      </w:r>
      <w:r>
        <w:rPr>
          <w:rFonts w:hAnsi="宋体" w:hint="eastAsia"/>
          <w:bCs/>
          <w:color w:val="auto"/>
          <w:sz w:val="24"/>
        </w:rPr>
        <w:t>&gt;0.01mg/L</w:t>
      </w:r>
      <w:r>
        <w:rPr>
          <w:rFonts w:hAnsi="宋体" w:hint="eastAsia"/>
          <w:bCs/>
          <w:color w:val="auto"/>
          <w:sz w:val="24"/>
        </w:rPr>
        <w:t>且≤</w:t>
      </w:r>
      <w:r>
        <w:rPr>
          <w:rFonts w:hAnsi="宋体" w:hint="eastAsia"/>
          <w:bCs/>
          <w:color w:val="auto"/>
          <w:sz w:val="24"/>
        </w:rPr>
        <w:t>0.05mg/L</w:t>
      </w:r>
      <w:r>
        <w:rPr>
          <w:rFonts w:hAnsi="宋体" w:hint="eastAsia"/>
          <w:bCs/>
          <w:color w:val="auto"/>
          <w:sz w:val="24"/>
        </w:rPr>
        <w:t>户数为</w:t>
      </w:r>
      <w:r>
        <w:rPr>
          <w:rFonts w:hAnsi="宋体" w:hint="eastAsia"/>
          <w:bCs/>
          <w:color w:val="auto"/>
          <w:sz w:val="24"/>
        </w:rPr>
        <w:t>5</w:t>
      </w:r>
      <w:r>
        <w:rPr>
          <w:rFonts w:hAnsi="宋体" w:hint="eastAsia"/>
          <w:bCs/>
          <w:color w:val="auto"/>
          <w:sz w:val="24"/>
        </w:rPr>
        <w:t>户，不存在水砷超标情况，水砷合格率为</w:t>
      </w:r>
      <w:r>
        <w:rPr>
          <w:rFonts w:hAnsi="宋体" w:hint="eastAsia"/>
          <w:bCs/>
          <w:color w:val="auto"/>
          <w:sz w:val="24"/>
        </w:rPr>
        <w:t>100%</w:t>
      </w:r>
      <w:r>
        <w:rPr>
          <w:rFonts w:hAnsi="宋体" w:hint="eastAsia"/>
          <w:bCs/>
          <w:color w:val="auto"/>
          <w:sz w:val="24"/>
        </w:rPr>
        <w:t>。</w:t>
      </w:r>
    </w:p>
    <w:p w:rsidR="00C6743E" w:rsidRDefault="00C6743E" w:rsidP="00C6743E">
      <w:pPr>
        <w:spacing w:line="360" w:lineRule="auto"/>
        <w:ind w:firstLineChars="196" w:firstLine="413"/>
        <w:rPr>
          <w:b/>
        </w:rPr>
      </w:pPr>
      <w:r>
        <w:rPr>
          <w:b/>
        </w:rPr>
        <w:t>（</w:t>
      </w:r>
      <w:r>
        <w:rPr>
          <w:rFonts w:hint="eastAsia"/>
          <w:b/>
        </w:rPr>
        <w:t>二</w:t>
      </w:r>
      <w:r>
        <w:rPr>
          <w:b/>
        </w:rPr>
        <w:t>）</w:t>
      </w:r>
      <w:r>
        <w:rPr>
          <w:rFonts w:hint="eastAsia"/>
          <w:b/>
        </w:rPr>
        <w:t>砷中毒</w:t>
      </w:r>
      <w:r>
        <w:rPr>
          <w:b/>
        </w:rPr>
        <w:t>病情监测结果</w:t>
      </w:r>
    </w:p>
    <w:p w:rsidR="00C6743E" w:rsidRDefault="00C6743E" w:rsidP="00C6743E">
      <w:pPr>
        <w:pStyle w:val="3"/>
        <w:adjustRightInd w:val="0"/>
        <w:snapToGrid w:val="0"/>
        <w:spacing w:line="360" w:lineRule="auto"/>
        <w:ind w:firstLine="480"/>
        <w:rPr>
          <w:rFonts w:hAnsi="宋体" w:hint="eastAsia"/>
          <w:bCs/>
          <w:sz w:val="24"/>
        </w:rPr>
      </w:pPr>
      <w:r w:rsidRPr="00C6743E">
        <w:rPr>
          <w:rFonts w:hAnsi="宋体" w:hint="eastAsia"/>
          <w:bCs/>
          <w:sz w:val="24"/>
        </w:rPr>
        <w:t>本年度</w:t>
      </w:r>
      <w:r w:rsidRPr="00C6743E">
        <w:rPr>
          <w:rFonts w:hAnsi="宋体" w:hint="eastAsia"/>
          <w:bCs/>
          <w:sz w:val="24"/>
        </w:rPr>
        <w:t>1</w:t>
      </w:r>
      <w:r w:rsidRPr="00C6743E">
        <w:rPr>
          <w:rFonts w:hAnsi="宋体"/>
          <w:bCs/>
          <w:sz w:val="24"/>
        </w:rPr>
        <w:t>4</w:t>
      </w:r>
      <w:r w:rsidRPr="00C6743E">
        <w:rPr>
          <w:rFonts w:hAnsi="宋体" w:hint="eastAsia"/>
          <w:bCs/>
          <w:sz w:val="24"/>
        </w:rPr>
        <w:t>个省（自治区）在</w:t>
      </w:r>
      <w:r w:rsidRPr="00C6743E">
        <w:rPr>
          <w:rFonts w:hAnsi="宋体" w:hint="eastAsia"/>
          <w:bCs/>
          <w:color w:val="auto"/>
          <w:sz w:val="24"/>
        </w:rPr>
        <w:t>2559</w:t>
      </w:r>
      <w:r w:rsidRPr="00C6743E">
        <w:rPr>
          <w:rFonts w:hAnsi="宋体" w:hint="eastAsia"/>
          <w:bCs/>
          <w:sz w:val="24"/>
        </w:rPr>
        <w:t>个饮水型砷中毒</w:t>
      </w:r>
      <w:proofErr w:type="gramStart"/>
      <w:r w:rsidRPr="00C6743E">
        <w:rPr>
          <w:rFonts w:hAnsi="宋体" w:hint="eastAsia"/>
          <w:bCs/>
          <w:sz w:val="24"/>
        </w:rPr>
        <w:t>病区村</w:t>
      </w:r>
      <w:proofErr w:type="gramEnd"/>
      <w:r w:rsidRPr="00C6743E">
        <w:rPr>
          <w:rFonts w:hAnsi="宋体" w:hint="eastAsia"/>
          <w:bCs/>
          <w:sz w:val="24"/>
        </w:rPr>
        <w:t>和高砷村进行了砷中毒病情调查，总检查人数</w:t>
      </w:r>
      <w:r w:rsidRPr="00C6743E">
        <w:rPr>
          <w:rFonts w:hAnsi="宋体" w:hint="eastAsia"/>
          <w:bCs/>
          <w:sz w:val="24"/>
        </w:rPr>
        <w:t>930517</w:t>
      </w:r>
      <w:r w:rsidRPr="00C6743E">
        <w:rPr>
          <w:rFonts w:hAnsi="宋体" w:hint="eastAsia"/>
          <w:bCs/>
          <w:sz w:val="24"/>
        </w:rPr>
        <w:t>人，检出病例总数</w:t>
      </w:r>
      <w:r w:rsidRPr="00C6743E">
        <w:rPr>
          <w:rFonts w:hAnsi="宋体" w:hint="eastAsia"/>
          <w:bCs/>
          <w:sz w:val="24"/>
        </w:rPr>
        <w:t>4887</w:t>
      </w:r>
      <w:r w:rsidRPr="00C6743E">
        <w:rPr>
          <w:rFonts w:hAnsi="宋体" w:hint="eastAsia"/>
          <w:bCs/>
          <w:sz w:val="24"/>
        </w:rPr>
        <w:t>人，检出率为</w:t>
      </w:r>
      <w:r w:rsidRPr="00C6743E">
        <w:rPr>
          <w:rFonts w:hAnsi="宋体" w:hint="eastAsia"/>
          <w:bCs/>
          <w:sz w:val="24"/>
        </w:rPr>
        <w:t>0.53%</w:t>
      </w:r>
      <w:r w:rsidRPr="00C6743E">
        <w:rPr>
          <w:rFonts w:hAnsi="宋体" w:hint="eastAsia"/>
          <w:bCs/>
          <w:sz w:val="24"/>
        </w:rPr>
        <w:t>。在现有病例中轻度病例</w:t>
      </w:r>
      <w:r w:rsidRPr="00C6743E">
        <w:rPr>
          <w:rFonts w:hAnsi="宋体" w:hint="eastAsia"/>
          <w:bCs/>
          <w:sz w:val="24"/>
        </w:rPr>
        <w:t>4121</w:t>
      </w:r>
      <w:r w:rsidRPr="00C6743E">
        <w:rPr>
          <w:rFonts w:hAnsi="宋体" w:hint="eastAsia"/>
          <w:bCs/>
          <w:sz w:val="24"/>
        </w:rPr>
        <w:t>例，占病例总数的</w:t>
      </w:r>
      <w:r w:rsidRPr="00C6743E">
        <w:rPr>
          <w:rFonts w:hAnsi="宋体" w:hint="eastAsia"/>
          <w:bCs/>
          <w:sz w:val="24"/>
        </w:rPr>
        <w:t>84.33%</w:t>
      </w:r>
      <w:r w:rsidRPr="00C6743E">
        <w:rPr>
          <w:rFonts w:hAnsi="宋体" w:hint="eastAsia"/>
          <w:bCs/>
          <w:sz w:val="24"/>
        </w:rPr>
        <w:t>；中度病例</w:t>
      </w:r>
      <w:r w:rsidRPr="00C6743E">
        <w:rPr>
          <w:rFonts w:hAnsi="宋体" w:hint="eastAsia"/>
          <w:bCs/>
          <w:sz w:val="24"/>
        </w:rPr>
        <w:t>637</w:t>
      </w:r>
      <w:r w:rsidRPr="00C6743E">
        <w:rPr>
          <w:rFonts w:hAnsi="宋体" w:hint="eastAsia"/>
          <w:bCs/>
          <w:sz w:val="24"/>
        </w:rPr>
        <w:t>例，占病例总数的</w:t>
      </w:r>
      <w:r w:rsidRPr="00C6743E">
        <w:rPr>
          <w:rFonts w:hAnsi="宋体" w:hint="eastAsia"/>
          <w:bCs/>
          <w:sz w:val="24"/>
        </w:rPr>
        <w:t>13.03%</w:t>
      </w:r>
      <w:r w:rsidRPr="00C6743E">
        <w:rPr>
          <w:rFonts w:hAnsi="宋体" w:hint="eastAsia"/>
          <w:bCs/>
          <w:sz w:val="24"/>
        </w:rPr>
        <w:t>；重度病例</w:t>
      </w:r>
      <w:r w:rsidRPr="00C6743E">
        <w:rPr>
          <w:rFonts w:hAnsi="宋体" w:hint="eastAsia"/>
          <w:bCs/>
          <w:sz w:val="24"/>
        </w:rPr>
        <w:t>127</w:t>
      </w:r>
      <w:r w:rsidRPr="00C6743E">
        <w:rPr>
          <w:rFonts w:hAnsi="宋体" w:hint="eastAsia"/>
          <w:bCs/>
          <w:sz w:val="24"/>
        </w:rPr>
        <w:t>例，占病例总数的</w:t>
      </w:r>
      <w:r w:rsidRPr="00C6743E">
        <w:rPr>
          <w:rFonts w:hAnsi="宋体" w:hint="eastAsia"/>
          <w:bCs/>
          <w:sz w:val="24"/>
        </w:rPr>
        <w:t>2.60%</w:t>
      </w:r>
      <w:r w:rsidRPr="00C6743E">
        <w:rPr>
          <w:rFonts w:hAnsi="宋体" w:hint="eastAsia"/>
          <w:bCs/>
          <w:sz w:val="24"/>
        </w:rPr>
        <w:t>；皮肤癌患者</w:t>
      </w:r>
      <w:r w:rsidRPr="00C6743E">
        <w:rPr>
          <w:rFonts w:hAnsi="宋体" w:hint="eastAsia"/>
          <w:bCs/>
          <w:sz w:val="24"/>
        </w:rPr>
        <w:t>2</w:t>
      </w:r>
      <w:r w:rsidRPr="00C6743E">
        <w:rPr>
          <w:rFonts w:hAnsi="宋体" w:hint="eastAsia"/>
          <w:bCs/>
          <w:sz w:val="24"/>
        </w:rPr>
        <w:t>例，其中内蒙古</w:t>
      </w:r>
      <w:r w:rsidRPr="00C6743E">
        <w:rPr>
          <w:rFonts w:hAnsi="宋体" w:hint="eastAsia"/>
          <w:bCs/>
          <w:sz w:val="24"/>
        </w:rPr>
        <w:t>1</w:t>
      </w:r>
      <w:r w:rsidRPr="00C6743E">
        <w:rPr>
          <w:rFonts w:hAnsi="宋体" w:hint="eastAsia"/>
          <w:bCs/>
          <w:sz w:val="24"/>
        </w:rPr>
        <w:t>例、云南</w:t>
      </w:r>
      <w:r w:rsidRPr="00C6743E">
        <w:rPr>
          <w:rFonts w:hAnsi="宋体" w:hint="eastAsia"/>
          <w:bCs/>
          <w:sz w:val="24"/>
        </w:rPr>
        <w:t>1</w:t>
      </w:r>
      <w:r w:rsidRPr="00C6743E">
        <w:rPr>
          <w:rFonts w:hAnsi="宋体" w:hint="eastAsia"/>
          <w:bCs/>
          <w:sz w:val="24"/>
        </w:rPr>
        <w:t>例。另有可疑病例</w:t>
      </w:r>
      <w:r w:rsidRPr="00C6743E">
        <w:rPr>
          <w:rFonts w:hAnsi="宋体" w:hint="eastAsia"/>
          <w:bCs/>
          <w:sz w:val="24"/>
        </w:rPr>
        <w:t>117</w:t>
      </w:r>
      <w:r w:rsidRPr="00C6743E">
        <w:rPr>
          <w:rFonts w:hAnsi="宋体" w:hint="eastAsia"/>
          <w:bCs/>
          <w:sz w:val="24"/>
        </w:rPr>
        <w:t>例。未发现饮水型砷中毒新发病例。在各省份中，内蒙古和山西病例较多，分别为</w:t>
      </w:r>
      <w:r w:rsidRPr="00C6743E">
        <w:rPr>
          <w:rFonts w:hAnsi="宋体" w:hint="eastAsia"/>
          <w:bCs/>
          <w:sz w:val="24"/>
        </w:rPr>
        <w:t>2006</w:t>
      </w:r>
      <w:r w:rsidRPr="00C6743E">
        <w:rPr>
          <w:rFonts w:hAnsi="宋体" w:hint="eastAsia"/>
          <w:bCs/>
          <w:sz w:val="24"/>
        </w:rPr>
        <w:t>人和</w:t>
      </w:r>
      <w:r w:rsidRPr="00C6743E">
        <w:rPr>
          <w:rFonts w:hAnsi="宋体" w:hint="eastAsia"/>
          <w:bCs/>
          <w:sz w:val="24"/>
        </w:rPr>
        <w:t>1400</w:t>
      </w:r>
      <w:r w:rsidRPr="00C6743E">
        <w:rPr>
          <w:rFonts w:hAnsi="宋体" w:hint="eastAsia"/>
          <w:bCs/>
          <w:sz w:val="24"/>
        </w:rPr>
        <w:t>人，江苏省仅检出可疑病例，河南省未检出病例。</w:t>
      </w:r>
    </w:p>
    <w:p w:rsidR="00C6743E" w:rsidRDefault="00C6743E" w:rsidP="00C6743E">
      <w:pPr>
        <w:spacing w:line="360" w:lineRule="auto"/>
        <w:ind w:firstLineChars="196" w:firstLine="413"/>
        <w:rPr>
          <w:rFonts w:ascii="宋体" w:hAnsi="宋体"/>
          <w:b/>
        </w:rPr>
      </w:pPr>
      <w:r>
        <w:rPr>
          <w:rFonts w:ascii="宋体" w:hAnsi="宋体" w:hint="eastAsia"/>
          <w:b/>
        </w:rPr>
        <w:t>（三）控制评价结果</w:t>
      </w:r>
    </w:p>
    <w:p w:rsidR="00C6743E" w:rsidRDefault="00C6743E" w:rsidP="00C6743E">
      <w:pPr>
        <w:pStyle w:val="3"/>
        <w:adjustRightInd w:val="0"/>
        <w:snapToGrid w:val="0"/>
        <w:spacing w:line="360" w:lineRule="auto"/>
        <w:ind w:firstLine="480"/>
        <w:rPr>
          <w:rFonts w:hAnsi="宋体" w:hint="eastAsia"/>
          <w:bCs/>
          <w:sz w:val="24"/>
        </w:rPr>
      </w:pPr>
      <w:r w:rsidRPr="00C6743E">
        <w:rPr>
          <w:rFonts w:hAnsi="宋体"/>
          <w:bCs/>
          <w:sz w:val="24"/>
        </w:rPr>
        <w:t>截止到</w:t>
      </w:r>
      <w:r w:rsidRPr="00C6743E">
        <w:rPr>
          <w:rFonts w:hAnsi="宋体"/>
          <w:bCs/>
          <w:sz w:val="24"/>
        </w:rPr>
        <w:t>2020</w:t>
      </w:r>
      <w:r w:rsidRPr="00C6743E">
        <w:rPr>
          <w:rFonts w:hAnsi="宋体"/>
          <w:bCs/>
          <w:sz w:val="24"/>
        </w:rPr>
        <w:t>年</w:t>
      </w:r>
      <w:r w:rsidRPr="00C6743E">
        <w:rPr>
          <w:rFonts w:hAnsi="宋体" w:hint="eastAsia"/>
          <w:bCs/>
          <w:sz w:val="24"/>
        </w:rPr>
        <w:t>底</w:t>
      </w:r>
      <w:r w:rsidRPr="00C6743E">
        <w:rPr>
          <w:rFonts w:hAnsi="宋体"/>
          <w:bCs/>
          <w:sz w:val="24"/>
        </w:rPr>
        <w:t>，</w:t>
      </w:r>
      <w:r w:rsidRPr="00C6743E">
        <w:rPr>
          <w:rFonts w:hAnsi="宋体" w:hint="eastAsia"/>
          <w:bCs/>
          <w:sz w:val="24"/>
        </w:rPr>
        <w:t>全国</w:t>
      </w:r>
      <w:r w:rsidRPr="00C6743E">
        <w:rPr>
          <w:rFonts w:hAnsi="宋体" w:hint="eastAsia"/>
          <w:bCs/>
          <w:sz w:val="24"/>
        </w:rPr>
        <w:t>14</w:t>
      </w:r>
      <w:r w:rsidRPr="00C6743E">
        <w:rPr>
          <w:rFonts w:hAnsi="宋体" w:hint="eastAsia"/>
          <w:bCs/>
          <w:sz w:val="24"/>
        </w:rPr>
        <w:t>个省（自治区）共监测了</w:t>
      </w:r>
      <w:r w:rsidRPr="00C6743E">
        <w:rPr>
          <w:rFonts w:hAnsi="宋体" w:hint="eastAsia"/>
          <w:bCs/>
          <w:sz w:val="24"/>
        </w:rPr>
        <w:t>121</w:t>
      </w:r>
      <w:r w:rsidRPr="00C6743E">
        <w:rPr>
          <w:rFonts w:hAnsi="宋体" w:hint="eastAsia"/>
          <w:bCs/>
          <w:sz w:val="24"/>
        </w:rPr>
        <w:t>个饮水型砷中毒病区县，根据饮水型砷中毒消除评价内容和判定标准，均已达到消除标准，消除率为</w:t>
      </w:r>
      <w:r w:rsidRPr="00C6743E">
        <w:rPr>
          <w:rFonts w:hAnsi="宋体" w:hint="eastAsia"/>
          <w:bCs/>
          <w:sz w:val="24"/>
        </w:rPr>
        <w:t>100%</w:t>
      </w:r>
      <w:r w:rsidRPr="00C6743E">
        <w:rPr>
          <w:rFonts w:hAnsi="宋体" w:hint="eastAsia"/>
          <w:bCs/>
          <w:sz w:val="24"/>
        </w:rPr>
        <w:t>。以</w:t>
      </w:r>
      <w:proofErr w:type="gramStart"/>
      <w:r w:rsidRPr="00C6743E">
        <w:rPr>
          <w:rFonts w:hAnsi="宋体" w:hint="eastAsia"/>
          <w:bCs/>
          <w:sz w:val="24"/>
        </w:rPr>
        <w:t>病区村</w:t>
      </w:r>
      <w:proofErr w:type="gramEnd"/>
      <w:r w:rsidRPr="00C6743E">
        <w:rPr>
          <w:rFonts w:hAnsi="宋体" w:hint="eastAsia"/>
          <w:bCs/>
          <w:sz w:val="24"/>
        </w:rPr>
        <w:t>为单位评判，尚有内蒙古的</w:t>
      </w:r>
      <w:r w:rsidRPr="00C6743E">
        <w:rPr>
          <w:rFonts w:hAnsi="宋体" w:hint="eastAsia"/>
          <w:bCs/>
          <w:sz w:val="24"/>
        </w:rPr>
        <w:t>2</w:t>
      </w:r>
      <w:r w:rsidRPr="00C6743E">
        <w:rPr>
          <w:rFonts w:hAnsi="宋体" w:hint="eastAsia"/>
          <w:bCs/>
          <w:sz w:val="24"/>
        </w:rPr>
        <w:t>个</w:t>
      </w:r>
      <w:proofErr w:type="gramStart"/>
      <w:r w:rsidRPr="00C6743E">
        <w:rPr>
          <w:rFonts w:hAnsi="宋体" w:hint="eastAsia"/>
          <w:bCs/>
          <w:sz w:val="24"/>
        </w:rPr>
        <w:t>病区村</w:t>
      </w:r>
      <w:proofErr w:type="gramEnd"/>
      <w:r w:rsidRPr="00C6743E">
        <w:rPr>
          <w:rFonts w:hAnsi="宋体" w:hint="eastAsia"/>
          <w:bCs/>
          <w:sz w:val="24"/>
        </w:rPr>
        <w:t>以及新疆的</w:t>
      </w:r>
      <w:r w:rsidRPr="00C6743E">
        <w:rPr>
          <w:rFonts w:hAnsi="宋体" w:hint="eastAsia"/>
          <w:bCs/>
          <w:sz w:val="24"/>
        </w:rPr>
        <w:t>1</w:t>
      </w:r>
      <w:r w:rsidRPr="00C6743E">
        <w:rPr>
          <w:rFonts w:hAnsi="宋体" w:hint="eastAsia"/>
          <w:bCs/>
          <w:sz w:val="24"/>
        </w:rPr>
        <w:t>个</w:t>
      </w:r>
      <w:proofErr w:type="gramStart"/>
      <w:r w:rsidRPr="00C6743E">
        <w:rPr>
          <w:rFonts w:hAnsi="宋体" w:hint="eastAsia"/>
          <w:bCs/>
          <w:sz w:val="24"/>
        </w:rPr>
        <w:t>病区村</w:t>
      </w:r>
      <w:proofErr w:type="gramEnd"/>
      <w:r w:rsidRPr="00C6743E">
        <w:rPr>
          <w:rFonts w:hAnsi="宋体" w:hint="eastAsia"/>
          <w:bCs/>
          <w:sz w:val="24"/>
        </w:rPr>
        <w:t>未达到消除标准。</w:t>
      </w:r>
    </w:p>
    <w:p w:rsidR="00C6743E" w:rsidRDefault="00C6743E" w:rsidP="00C6743E">
      <w:pPr>
        <w:pStyle w:val="GB2312TimesNewRoman2"/>
        <w:spacing w:line="360" w:lineRule="auto"/>
        <w:ind w:firstLine="482"/>
        <w:rPr>
          <w:rFonts w:eastAsia="宋体" w:hAnsi="宋体" w:cs="Times New Roman"/>
          <w:b/>
          <w:sz w:val="24"/>
          <w:szCs w:val="24"/>
        </w:rPr>
      </w:pPr>
      <w:r>
        <w:rPr>
          <w:rFonts w:eastAsia="宋体" w:hAnsi="宋体" w:cs="Times New Roman" w:hint="eastAsia"/>
          <w:b/>
          <w:sz w:val="24"/>
          <w:szCs w:val="24"/>
        </w:rPr>
        <w:t>三、仍需关注的问题及下一步工作建议</w:t>
      </w:r>
    </w:p>
    <w:p w:rsidR="00C6743E" w:rsidRPr="00C6743E" w:rsidRDefault="00C6743E" w:rsidP="00C6743E">
      <w:pPr>
        <w:spacing w:line="360" w:lineRule="auto"/>
        <w:ind w:firstLineChars="200" w:firstLine="482"/>
        <w:rPr>
          <w:rFonts w:ascii="Times New Roman" w:eastAsia="宋体" w:hAnsi="宋体" w:cs="Times New Roman"/>
          <w:b/>
          <w:bCs/>
          <w:color w:val="000000"/>
          <w:sz w:val="24"/>
          <w:szCs w:val="24"/>
        </w:rPr>
      </w:pPr>
      <w:r w:rsidRPr="00C6743E">
        <w:rPr>
          <w:rFonts w:ascii="Times New Roman" w:eastAsia="宋体" w:hAnsi="宋体" w:cs="Times New Roman" w:hint="eastAsia"/>
          <w:b/>
          <w:bCs/>
          <w:color w:val="000000"/>
          <w:sz w:val="24"/>
          <w:szCs w:val="24"/>
        </w:rPr>
        <w:t>（一）未改水村的监测与判定</w:t>
      </w:r>
    </w:p>
    <w:p w:rsidR="00C6743E" w:rsidRPr="00C6743E" w:rsidRDefault="00C6743E" w:rsidP="00C6743E">
      <w:pPr>
        <w:spacing w:line="360" w:lineRule="auto"/>
        <w:ind w:firstLineChars="200" w:firstLine="480"/>
        <w:outlineLvl w:val="0"/>
        <w:rPr>
          <w:rFonts w:ascii="Times New Roman" w:eastAsia="宋体" w:hAnsi="宋体" w:cs="Times New Roman"/>
          <w:bCs/>
          <w:color w:val="000000"/>
          <w:sz w:val="24"/>
          <w:szCs w:val="24"/>
        </w:rPr>
      </w:pPr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内蒙古自治区仍存在未改水村，这些村在病区认定时期曾存在水砷含量超标现象，但由于地处牧区，每户间隔较远等原因，未能及时落实改水工作。经过多年自然环境变化，水砷含量自然下降，本年度的监测数据显示，</w:t>
      </w:r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21</w:t>
      </w:r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个未改水村的水砷含量均未超标。这些村的水砷含量在今后是否稳定，是否在有条件的情况下尽快实现改水，</w:t>
      </w:r>
      <w:proofErr w:type="gramStart"/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亦或</w:t>
      </w:r>
      <w:proofErr w:type="gramEnd"/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将其从饮水型砷中毒</w:t>
      </w:r>
      <w:proofErr w:type="gramStart"/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病区村</w:t>
      </w:r>
      <w:proofErr w:type="gramEnd"/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名单中排除，这些问题还有待进一步监测、论证和确定。</w:t>
      </w:r>
    </w:p>
    <w:p w:rsidR="00C6743E" w:rsidRPr="00C6743E" w:rsidRDefault="00C6743E" w:rsidP="00C6743E">
      <w:pPr>
        <w:spacing w:line="360" w:lineRule="auto"/>
        <w:ind w:firstLineChars="200" w:firstLine="482"/>
        <w:outlineLvl w:val="0"/>
        <w:rPr>
          <w:rFonts w:ascii="Times New Roman" w:eastAsia="宋体" w:hAnsi="宋体" w:cs="Times New Roman"/>
          <w:b/>
          <w:bCs/>
          <w:color w:val="000000"/>
          <w:sz w:val="24"/>
          <w:szCs w:val="24"/>
        </w:rPr>
      </w:pPr>
      <w:r w:rsidRPr="00C6743E">
        <w:rPr>
          <w:rFonts w:ascii="Times New Roman" w:eastAsia="宋体" w:hAnsi="宋体" w:cs="Times New Roman" w:hint="eastAsia"/>
          <w:b/>
          <w:bCs/>
          <w:color w:val="000000"/>
          <w:sz w:val="24"/>
          <w:szCs w:val="24"/>
        </w:rPr>
        <w:t>（二）重视已建改水工程的管理与维护</w:t>
      </w:r>
    </w:p>
    <w:p w:rsidR="00C6743E" w:rsidRPr="00C6743E" w:rsidRDefault="00C6743E" w:rsidP="00C6743E">
      <w:pPr>
        <w:spacing w:line="360" w:lineRule="auto"/>
        <w:ind w:firstLineChars="200" w:firstLine="480"/>
        <w:rPr>
          <w:rFonts w:ascii="Times New Roman" w:eastAsia="宋体" w:hAnsi="宋体" w:cs="Times New Roman"/>
          <w:bCs/>
          <w:color w:val="000000"/>
          <w:sz w:val="24"/>
          <w:szCs w:val="24"/>
        </w:rPr>
      </w:pPr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内蒙古和新疆仍存在</w:t>
      </w:r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3</w:t>
      </w:r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个水砷含量超标的自然村，主要原因是改水工</w:t>
      </w:r>
      <w:proofErr w:type="gramStart"/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程维护</w:t>
      </w:r>
      <w:proofErr w:type="gramEnd"/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不到位导致水砷含量回升。我国地方病防治专项三年攻坚行动方案（</w:t>
      </w:r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2018-2020</w:t>
      </w:r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年）提出，在饮水型砷中毒病区，对现有供水工程需强化水质净化处理，因地制宜地确定管理方案，不断提高改水工程的使用率和水质达标率。各省要将存在问题的</w:t>
      </w:r>
      <w:proofErr w:type="gramStart"/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降砷改水工</w:t>
      </w:r>
      <w:proofErr w:type="gramEnd"/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程纳入农村饮水安全工程巩固提升规划，对于已经建设完成的改</w:t>
      </w:r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lastRenderedPageBreak/>
        <w:t>水工程，相关部门应持续性做好工程管理、维护以及水质监测等工作，持续巩固防治成果。</w:t>
      </w:r>
    </w:p>
    <w:p w:rsidR="00C6743E" w:rsidRPr="00C6743E" w:rsidRDefault="00C6743E" w:rsidP="00C6743E">
      <w:pPr>
        <w:spacing w:line="360" w:lineRule="auto"/>
        <w:ind w:firstLineChars="200" w:firstLine="482"/>
        <w:rPr>
          <w:rFonts w:ascii="Times New Roman" w:eastAsia="宋体" w:hAnsi="宋体" w:cs="Times New Roman"/>
          <w:b/>
          <w:bCs/>
          <w:color w:val="000000"/>
          <w:sz w:val="24"/>
          <w:szCs w:val="24"/>
        </w:rPr>
      </w:pPr>
      <w:r w:rsidRPr="00C6743E">
        <w:rPr>
          <w:rFonts w:ascii="Times New Roman" w:eastAsia="宋体" w:hAnsi="宋体" w:cs="Times New Roman" w:hint="eastAsia"/>
          <w:b/>
          <w:bCs/>
          <w:color w:val="000000"/>
          <w:sz w:val="24"/>
          <w:szCs w:val="24"/>
        </w:rPr>
        <w:t>（三）持续开展病区群众的健康教育工作</w:t>
      </w:r>
    </w:p>
    <w:p w:rsidR="00C6743E" w:rsidRPr="00C6743E" w:rsidRDefault="00C6743E" w:rsidP="00C6743E">
      <w:pPr>
        <w:spacing w:line="360" w:lineRule="auto"/>
        <w:ind w:firstLineChars="200" w:firstLine="480"/>
        <w:rPr>
          <w:rFonts w:ascii="Times New Roman" w:eastAsia="宋体" w:hAnsi="宋体" w:cs="Times New Roman"/>
          <w:bCs/>
          <w:color w:val="000000"/>
          <w:sz w:val="24"/>
          <w:szCs w:val="24"/>
        </w:rPr>
      </w:pPr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目前，改水降砷防治成果显著，进一步提高病区群众的饮水</w:t>
      </w:r>
      <w:proofErr w:type="gramStart"/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安全认识</w:t>
      </w:r>
      <w:proofErr w:type="gramEnd"/>
      <w:r w:rsidRPr="00C6743E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和防病意识将有助于巩固现有的防治成果。卫生健康、教育、新闻出版、广电等部门应充分利用传统媒体和新媒体，结合地方病防治特点，在饮水型砷中毒病区持续开展宣传教育活动，保持病区的持续消除状态。</w:t>
      </w:r>
    </w:p>
    <w:p w:rsidR="00C6743E" w:rsidRPr="00C6743E" w:rsidRDefault="00C6743E" w:rsidP="00C6743E">
      <w:pPr>
        <w:pStyle w:val="3"/>
        <w:adjustRightInd w:val="0"/>
        <w:snapToGrid w:val="0"/>
        <w:spacing w:line="360" w:lineRule="auto"/>
        <w:ind w:firstLine="480"/>
        <w:rPr>
          <w:rFonts w:hAnsi="宋体"/>
          <w:bCs/>
          <w:sz w:val="24"/>
        </w:rPr>
      </w:pPr>
    </w:p>
    <w:p w:rsidR="00C6743E" w:rsidRPr="00C6743E" w:rsidRDefault="00C6743E" w:rsidP="00C6743E">
      <w:pPr>
        <w:spacing w:line="360" w:lineRule="auto"/>
        <w:ind w:firstLineChars="200" w:firstLine="420"/>
      </w:pPr>
    </w:p>
    <w:sectPr w:rsidR="00C6743E" w:rsidRPr="00C6743E" w:rsidSect="00D12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C96" w:rsidRDefault="005E7C96" w:rsidP="000E158C">
      <w:r>
        <w:separator/>
      </w:r>
    </w:p>
  </w:endnote>
  <w:endnote w:type="continuationSeparator" w:id="0">
    <w:p w:rsidR="005E7C96" w:rsidRDefault="005E7C96" w:rsidP="000E1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C96" w:rsidRDefault="005E7C96" w:rsidP="000E158C">
      <w:r>
        <w:separator/>
      </w:r>
    </w:p>
  </w:footnote>
  <w:footnote w:type="continuationSeparator" w:id="0">
    <w:p w:rsidR="005E7C96" w:rsidRDefault="005E7C96" w:rsidP="000E15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58C"/>
    <w:rsid w:val="0001365D"/>
    <w:rsid w:val="00013A3F"/>
    <w:rsid w:val="00023853"/>
    <w:rsid w:val="00025DBD"/>
    <w:rsid w:val="0003527C"/>
    <w:rsid w:val="0003767B"/>
    <w:rsid w:val="000505B7"/>
    <w:rsid w:val="00051AE8"/>
    <w:rsid w:val="00052535"/>
    <w:rsid w:val="000548CD"/>
    <w:rsid w:val="00055610"/>
    <w:rsid w:val="00057503"/>
    <w:rsid w:val="00060B55"/>
    <w:rsid w:val="00063390"/>
    <w:rsid w:val="000649E6"/>
    <w:rsid w:val="00065F77"/>
    <w:rsid w:val="00073497"/>
    <w:rsid w:val="00085C8A"/>
    <w:rsid w:val="00092A4C"/>
    <w:rsid w:val="0009741F"/>
    <w:rsid w:val="00097FDF"/>
    <w:rsid w:val="000A103E"/>
    <w:rsid w:val="000A19EB"/>
    <w:rsid w:val="000A28EA"/>
    <w:rsid w:val="000A5E28"/>
    <w:rsid w:val="000A7F93"/>
    <w:rsid w:val="000B768A"/>
    <w:rsid w:val="000C1971"/>
    <w:rsid w:val="000C3665"/>
    <w:rsid w:val="000C3FAE"/>
    <w:rsid w:val="000D393B"/>
    <w:rsid w:val="000E158C"/>
    <w:rsid w:val="000E21D5"/>
    <w:rsid w:val="000E5CEE"/>
    <w:rsid w:val="000F74B9"/>
    <w:rsid w:val="00105FFE"/>
    <w:rsid w:val="00112421"/>
    <w:rsid w:val="0011366D"/>
    <w:rsid w:val="00114DC7"/>
    <w:rsid w:val="001171F6"/>
    <w:rsid w:val="00124903"/>
    <w:rsid w:val="001311E2"/>
    <w:rsid w:val="00134919"/>
    <w:rsid w:val="00137DCD"/>
    <w:rsid w:val="001414DA"/>
    <w:rsid w:val="00147FDE"/>
    <w:rsid w:val="00152235"/>
    <w:rsid w:val="00160219"/>
    <w:rsid w:val="0016545C"/>
    <w:rsid w:val="001667A7"/>
    <w:rsid w:val="001711BF"/>
    <w:rsid w:val="00171F03"/>
    <w:rsid w:val="00172078"/>
    <w:rsid w:val="001745BA"/>
    <w:rsid w:val="001753ED"/>
    <w:rsid w:val="0018419F"/>
    <w:rsid w:val="00190974"/>
    <w:rsid w:val="001921FF"/>
    <w:rsid w:val="00196165"/>
    <w:rsid w:val="00197BC2"/>
    <w:rsid w:val="001A0C62"/>
    <w:rsid w:val="001A1828"/>
    <w:rsid w:val="001A3934"/>
    <w:rsid w:val="001A43D2"/>
    <w:rsid w:val="001B1F32"/>
    <w:rsid w:val="001B7530"/>
    <w:rsid w:val="001C115A"/>
    <w:rsid w:val="001C586C"/>
    <w:rsid w:val="001C601E"/>
    <w:rsid w:val="001D40F0"/>
    <w:rsid w:val="001D4DBE"/>
    <w:rsid w:val="001D7731"/>
    <w:rsid w:val="001E0CD8"/>
    <w:rsid w:val="001E16C7"/>
    <w:rsid w:val="001E3BD5"/>
    <w:rsid w:val="001E4030"/>
    <w:rsid w:val="001F7D9F"/>
    <w:rsid w:val="00203ADD"/>
    <w:rsid w:val="0021582E"/>
    <w:rsid w:val="00223266"/>
    <w:rsid w:val="002275F7"/>
    <w:rsid w:val="00240381"/>
    <w:rsid w:val="00253A21"/>
    <w:rsid w:val="00260DBA"/>
    <w:rsid w:val="00263DAC"/>
    <w:rsid w:val="0026594B"/>
    <w:rsid w:val="00272B1A"/>
    <w:rsid w:val="00274567"/>
    <w:rsid w:val="002819D1"/>
    <w:rsid w:val="002868C5"/>
    <w:rsid w:val="00291AEC"/>
    <w:rsid w:val="00292457"/>
    <w:rsid w:val="00293349"/>
    <w:rsid w:val="0029684F"/>
    <w:rsid w:val="002B2517"/>
    <w:rsid w:val="002B5184"/>
    <w:rsid w:val="002B763C"/>
    <w:rsid w:val="002F4A76"/>
    <w:rsid w:val="002F7C51"/>
    <w:rsid w:val="003017EA"/>
    <w:rsid w:val="0031225B"/>
    <w:rsid w:val="00314F8D"/>
    <w:rsid w:val="00315EF6"/>
    <w:rsid w:val="0032379D"/>
    <w:rsid w:val="00325867"/>
    <w:rsid w:val="00326B91"/>
    <w:rsid w:val="00327524"/>
    <w:rsid w:val="003416A3"/>
    <w:rsid w:val="00342BD6"/>
    <w:rsid w:val="00343C16"/>
    <w:rsid w:val="0034577A"/>
    <w:rsid w:val="0034787C"/>
    <w:rsid w:val="00347A49"/>
    <w:rsid w:val="00351AF0"/>
    <w:rsid w:val="00355CE3"/>
    <w:rsid w:val="00362F93"/>
    <w:rsid w:val="003649EB"/>
    <w:rsid w:val="00365C28"/>
    <w:rsid w:val="00365F61"/>
    <w:rsid w:val="00371707"/>
    <w:rsid w:val="003719C9"/>
    <w:rsid w:val="003744EC"/>
    <w:rsid w:val="0037662C"/>
    <w:rsid w:val="00382981"/>
    <w:rsid w:val="003837E9"/>
    <w:rsid w:val="00384F06"/>
    <w:rsid w:val="00386379"/>
    <w:rsid w:val="00387419"/>
    <w:rsid w:val="0039450D"/>
    <w:rsid w:val="003978A5"/>
    <w:rsid w:val="003A3255"/>
    <w:rsid w:val="003A3898"/>
    <w:rsid w:val="003B02A3"/>
    <w:rsid w:val="003B2422"/>
    <w:rsid w:val="003C450C"/>
    <w:rsid w:val="003C5E42"/>
    <w:rsid w:val="003D2641"/>
    <w:rsid w:val="003D6952"/>
    <w:rsid w:val="003E0E59"/>
    <w:rsid w:val="003E1C12"/>
    <w:rsid w:val="003E1FC8"/>
    <w:rsid w:val="003E3C75"/>
    <w:rsid w:val="003F24E7"/>
    <w:rsid w:val="003F4051"/>
    <w:rsid w:val="003F4AB3"/>
    <w:rsid w:val="003F628D"/>
    <w:rsid w:val="004011CA"/>
    <w:rsid w:val="0040373A"/>
    <w:rsid w:val="00412B3F"/>
    <w:rsid w:val="00414D1A"/>
    <w:rsid w:val="004170DD"/>
    <w:rsid w:val="00423DFD"/>
    <w:rsid w:val="00426221"/>
    <w:rsid w:val="004269C9"/>
    <w:rsid w:val="0043295C"/>
    <w:rsid w:val="00434A72"/>
    <w:rsid w:val="0043516B"/>
    <w:rsid w:val="0044062A"/>
    <w:rsid w:val="00441095"/>
    <w:rsid w:val="004527B8"/>
    <w:rsid w:val="00453225"/>
    <w:rsid w:val="00454035"/>
    <w:rsid w:val="004746C8"/>
    <w:rsid w:val="00474C89"/>
    <w:rsid w:val="004766B6"/>
    <w:rsid w:val="00477755"/>
    <w:rsid w:val="00477CC9"/>
    <w:rsid w:val="00491200"/>
    <w:rsid w:val="00491AD6"/>
    <w:rsid w:val="004A16C3"/>
    <w:rsid w:val="004B5593"/>
    <w:rsid w:val="004B6368"/>
    <w:rsid w:val="004B70EC"/>
    <w:rsid w:val="004C00C7"/>
    <w:rsid w:val="004C0397"/>
    <w:rsid w:val="004C3D0A"/>
    <w:rsid w:val="004C68C0"/>
    <w:rsid w:val="004D1343"/>
    <w:rsid w:val="004D2A9E"/>
    <w:rsid w:val="004F041A"/>
    <w:rsid w:val="004F1E93"/>
    <w:rsid w:val="004F3ADF"/>
    <w:rsid w:val="004F4683"/>
    <w:rsid w:val="004F48C7"/>
    <w:rsid w:val="0050047A"/>
    <w:rsid w:val="00511E8C"/>
    <w:rsid w:val="00520105"/>
    <w:rsid w:val="005255D0"/>
    <w:rsid w:val="00527939"/>
    <w:rsid w:val="00527FC8"/>
    <w:rsid w:val="00534A3E"/>
    <w:rsid w:val="00541D1F"/>
    <w:rsid w:val="00544D89"/>
    <w:rsid w:val="0055521D"/>
    <w:rsid w:val="00555DF3"/>
    <w:rsid w:val="00565CEB"/>
    <w:rsid w:val="00566C65"/>
    <w:rsid w:val="00567015"/>
    <w:rsid w:val="0056783D"/>
    <w:rsid w:val="00573881"/>
    <w:rsid w:val="00577464"/>
    <w:rsid w:val="005834ED"/>
    <w:rsid w:val="00583CA2"/>
    <w:rsid w:val="00584BB1"/>
    <w:rsid w:val="005940C0"/>
    <w:rsid w:val="0059473A"/>
    <w:rsid w:val="005A4055"/>
    <w:rsid w:val="005B0610"/>
    <w:rsid w:val="005B25EC"/>
    <w:rsid w:val="005B49B8"/>
    <w:rsid w:val="005B5EFB"/>
    <w:rsid w:val="005B7CA3"/>
    <w:rsid w:val="005C19FF"/>
    <w:rsid w:val="005C4132"/>
    <w:rsid w:val="005C4BFE"/>
    <w:rsid w:val="005D40C6"/>
    <w:rsid w:val="005D4321"/>
    <w:rsid w:val="005D59B0"/>
    <w:rsid w:val="005E72E8"/>
    <w:rsid w:val="005E7645"/>
    <w:rsid w:val="005E7C96"/>
    <w:rsid w:val="005F454F"/>
    <w:rsid w:val="005F76FE"/>
    <w:rsid w:val="00601726"/>
    <w:rsid w:val="00604FE4"/>
    <w:rsid w:val="006073FC"/>
    <w:rsid w:val="00607ACC"/>
    <w:rsid w:val="00616088"/>
    <w:rsid w:val="006168B9"/>
    <w:rsid w:val="006179DE"/>
    <w:rsid w:val="00617B33"/>
    <w:rsid w:val="00617C19"/>
    <w:rsid w:val="00620FBA"/>
    <w:rsid w:val="00625FC3"/>
    <w:rsid w:val="00626E80"/>
    <w:rsid w:val="00631738"/>
    <w:rsid w:val="00634446"/>
    <w:rsid w:val="00634B4C"/>
    <w:rsid w:val="00641A71"/>
    <w:rsid w:val="0064291E"/>
    <w:rsid w:val="006442C1"/>
    <w:rsid w:val="00644A63"/>
    <w:rsid w:val="00651B84"/>
    <w:rsid w:val="0066258C"/>
    <w:rsid w:val="006725CB"/>
    <w:rsid w:val="00673190"/>
    <w:rsid w:val="0068027A"/>
    <w:rsid w:val="00681965"/>
    <w:rsid w:val="00682F0E"/>
    <w:rsid w:val="006858DE"/>
    <w:rsid w:val="00693334"/>
    <w:rsid w:val="00693720"/>
    <w:rsid w:val="00697065"/>
    <w:rsid w:val="006A1013"/>
    <w:rsid w:val="006A7916"/>
    <w:rsid w:val="006B3BED"/>
    <w:rsid w:val="006B408F"/>
    <w:rsid w:val="006C0433"/>
    <w:rsid w:val="006C12D9"/>
    <w:rsid w:val="006C4422"/>
    <w:rsid w:val="006D3F23"/>
    <w:rsid w:val="006D64B7"/>
    <w:rsid w:val="006F0D34"/>
    <w:rsid w:val="006F2D1A"/>
    <w:rsid w:val="00706D10"/>
    <w:rsid w:val="007125BD"/>
    <w:rsid w:val="00715787"/>
    <w:rsid w:val="00717FE9"/>
    <w:rsid w:val="00722CA2"/>
    <w:rsid w:val="00722EE4"/>
    <w:rsid w:val="007279C1"/>
    <w:rsid w:val="00733015"/>
    <w:rsid w:val="007330CC"/>
    <w:rsid w:val="0073646B"/>
    <w:rsid w:val="00743368"/>
    <w:rsid w:val="0074739C"/>
    <w:rsid w:val="0075168E"/>
    <w:rsid w:val="00753274"/>
    <w:rsid w:val="00765D1B"/>
    <w:rsid w:val="00766BF1"/>
    <w:rsid w:val="00770DCB"/>
    <w:rsid w:val="007773DE"/>
    <w:rsid w:val="00781D82"/>
    <w:rsid w:val="00797F18"/>
    <w:rsid w:val="007A0A8F"/>
    <w:rsid w:val="007A34AC"/>
    <w:rsid w:val="007A55B7"/>
    <w:rsid w:val="007A5AC3"/>
    <w:rsid w:val="007B0D0A"/>
    <w:rsid w:val="007B6BE4"/>
    <w:rsid w:val="007B6F0A"/>
    <w:rsid w:val="007C1232"/>
    <w:rsid w:val="007C3845"/>
    <w:rsid w:val="007C42DB"/>
    <w:rsid w:val="007C5AB8"/>
    <w:rsid w:val="007C7AC0"/>
    <w:rsid w:val="007D392B"/>
    <w:rsid w:val="007D4105"/>
    <w:rsid w:val="007E00CD"/>
    <w:rsid w:val="007E07F7"/>
    <w:rsid w:val="007E5AB7"/>
    <w:rsid w:val="007E5CA9"/>
    <w:rsid w:val="007E66AE"/>
    <w:rsid w:val="007F241A"/>
    <w:rsid w:val="007F4B51"/>
    <w:rsid w:val="007F56F9"/>
    <w:rsid w:val="007F65F2"/>
    <w:rsid w:val="00804688"/>
    <w:rsid w:val="00812056"/>
    <w:rsid w:val="00813D5F"/>
    <w:rsid w:val="00824458"/>
    <w:rsid w:val="00826849"/>
    <w:rsid w:val="00835F04"/>
    <w:rsid w:val="00835FCF"/>
    <w:rsid w:val="00836B1A"/>
    <w:rsid w:val="00845AF7"/>
    <w:rsid w:val="008508A0"/>
    <w:rsid w:val="00850B29"/>
    <w:rsid w:val="00857E87"/>
    <w:rsid w:val="008723BC"/>
    <w:rsid w:val="0087417D"/>
    <w:rsid w:val="00874F53"/>
    <w:rsid w:val="00877455"/>
    <w:rsid w:val="00882F84"/>
    <w:rsid w:val="00883BC6"/>
    <w:rsid w:val="00892EBC"/>
    <w:rsid w:val="008978B7"/>
    <w:rsid w:val="008A19E4"/>
    <w:rsid w:val="008B21F5"/>
    <w:rsid w:val="008D2089"/>
    <w:rsid w:val="008D2E80"/>
    <w:rsid w:val="008D7CF1"/>
    <w:rsid w:val="008D7E99"/>
    <w:rsid w:val="008E2C54"/>
    <w:rsid w:val="008E66A4"/>
    <w:rsid w:val="008F0554"/>
    <w:rsid w:val="008F1202"/>
    <w:rsid w:val="008F704E"/>
    <w:rsid w:val="009033DB"/>
    <w:rsid w:val="00904639"/>
    <w:rsid w:val="00914094"/>
    <w:rsid w:val="00914D08"/>
    <w:rsid w:val="00935F0C"/>
    <w:rsid w:val="00944399"/>
    <w:rsid w:val="00946A69"/>
    <w:rsid w:val="0095623B"/>
    <w:rsid w:val="0095625C"/>
    <w:rsid w:val="009603AA"/>
    <w:rsid w:val="0096133A"/>
    <w:rsid w:val="00961524"/>
    <w:rsid w:val="0097179E"/>
    <w:rsid w:val="00973295"/>
    <w:rsid w:val="0098061C"/>
    <w:rsid w:val="0098466B"/>
    <w:rsid w:val="0098708B"/>
    <w:rsid w:val="0099641E"/>
    <w:rsid w:val="009A0D6F"/>
    <w:rsid w:val="009C19FF"/>
    <w:rsid w:val="009C462F"/>
    <w:rsid w:val="009C7DFA"/>
    <w:rsid w:val="009D0BCE"/>
    <w:rsid w:val="009D3833"/>
    <w:rsid w:val="009E3B98"/>
    <w:rsid w:val="009F364C"/>
    <w:rsid w:val="009F5735"/>
    <w:rsid w:val="00A035BC"/>
    <w:rsid w:val="00A22E1D"/>
    <w:rsid w:val="00A279CB"/>
    <w:rsid w:val="00A35905"/>
    <w:rsid w:val="00A456CA"/>
    <w:rsid w:val="00A50CA6"/>
    <w:rsid w:val="00A51E01"/>
    <w:rsid w:val="00A6072C"/>
    <w:rsid w:val="00A6259C"/>
    <w:rsid w:val="00A65AB6"/>
    <w:rsid w:val="00A65D01"/>
    <w:rsid w:val="00A71AE7"/>
    <w:rsid w:val="00A7206F"/>
    <w:rsid w:val="00A727D4"/>
    <w:rsid w:val="00A93C76"/>
    <w:rsid w:val="00AA05D4"/>
    <w:rsid w:val="00AA4B36"/>
    <w:rsid w:val="00AA560A"/>
    <w:rsid w:val="00AA561A"/>
    <w:rsid w:val="00AA656C"/>
    <w:rsid w:val="00AA7199"/>
    <w:rsid w:val="00AB2967"/>
    <w:rsid w:val="00AB483F"/>
    <w:rsid w:val="00AC08FB"/>
    <w:rsid w:val="00AC2FE3"/>
    <w:rsid w:val="00AD1C25"/>
    <w:rsid w:val="00AD3C94"/>
    <w:rsid w:val="00AD5F94"/>
    <w:rsid w:val="00AE3D78"/>
    <w:rsid w:val="00AE5037"/>
    <w:rsid w:val="00AE708D"/>
    <w:rsid w:val="00AF0A1E"/>
    <w:rsid w:val="00AF14EB"/>
    <w:rsid w:val="00B037E7"/>
    <w:rsid w:val="00B076B8"/>
    <w:rsid w:val="00B20B5D"/>
    <w:rsid w:val="00B22AAC"/>
    <w:rsid w:val="00B2415B"/>
    <w:rsid w:val="00B24ADF"/>
    <w:rsid w:val="00B24FAC"/>
    <w:rsid w:val="00B267F8"/>
    <w:rsid w:val="00B34EB6"/>
    <w:rsid w:val="00B366D4"/>
    <w:rsid w:val="00B42865"/>
    <w:rsid w:val="00B543BE"/>
    <w:rsid w:val="00B5679B"/>
    <w:rsid w:val="00B60518"/>
    <w:rsid w:val="00B6470A"/>
    <w:rsid w:val="00B64E22"/>
    <w:rsid w:val="00B65155"/>
    <w:rsid w:val="00B66BF2"/>
    <w:rsid w:val="00B700FA"/>
    <w:rsid w:val="00B70C2B"/>
    <w:rsid w:val="00B73909"/>
    <w:rsid w:val="00B73A52"/>
    <w:rsid w:val="00B76694"/>
    <w:rsid w:val="00B81134"/>
    <w:rsid w:val="00B83054"/>
    <w:rsid w:val="00B850B5"/>
    <w:rsid w:val="00B918F5"/>
    <w:rsid w:val="00B91F05"/>
    <w:rsid w:val="00B94A39"/>
    <w:rsid w:val="00BA730E"/>
    <w:rsid w:val="00BB0020"/>
    <w:rsid w:val="00BB1561"/>
    <w:rsid w:val="00BB2ABC"/>
    <w:rsid w:val="00BB2C00"/>
    <w:rsid w:val="00BB456E"/>
    <w:rsid w:val="00BD32F9"/>
    <w:rsid w:val="00BD3EAD"/>
    <w:rsid w:val="00BD4343"/>
    <w:rsid w:val="00BD5FF7"/>
    <w:rsid w:val="00BE084B"/>
    <w:rsid w:val="00BE235C"/>
    <w:rsid w:val="00BE2AA4"/>
    <w:rsid w:val="00BE2BF2"/>
    <w:rsid w:val="00BE7DC3"/>
    <w:rsid w:val="00BF08CE"/>
    <w:rsid w:val="00BF30B9"/>
    <w:rsid w:val="00BF4A24"/>
    <w:rsid w:val="00BF4CE7"/>
    <w:rsid w:val="00C010DD"/>
    <w:rsid w:val="00C011B4"/>
    <w:rsid w:val="00C059F2"/>
    <w:rsid w:val="00C069F9"/>
    <w:rsid w:val="00C12D9C"/>
    <w:rsid w:val="00C136A2"/>
    <w:rsid w:val="00C14999"/>
    <w:rsid w:val="00C14A89"/>
    <w:rsid w:val="00C204E5"/>
    <w:rsid w:val="00C211AD"/>
    <w:rsid w:val="00C2721D"/>
    <w:rsid w:val="00C30268"/>
    <w:rsid w:val="00C33690"/>
    <w:rsid w:val="00C33F2B"/>
    <w:rsid w:val="00C44098"/>
    <w:rsid w:val="00C61079"/>
    <w:rsid w:val="00C617E8"/>
    <w:rsid w:val="00C63661"/>
    <w:rsid w:val="00C63A02"/>
    <w:rsid w:val="00C666F0"/>
    <w:rsid w:val="00C6743E"/>
    <w:rsid w:val="00C72806"/>
    <w:rsid w:val="00C73FAF"/>
    <w:rsid w:val="00C777C8"/>
    <w:rsid w:val="00C779ED"/>
    <w:rsid w:val="00C824A6"/>
    <w:rsid w:val="00C85123"/>
    <w:rsid w:val="00C85EB0"/>
    <w:rsid w:val="00C86205"/>
    <w:rsid w:val="00C918D7"/>
    <w:rsid w:val="00C936A5"/>
    <w:rsid w:val="00C97528"/>
    <w:rsid w:val="00CA5407"/>
    <w:rsid w:val="00CA54EC"/>
    <w:rsid w:val="00CB027A"/>
    <w:rsid w:val="00CB34B4"/>
    <w:rsid w:val="00CB62EB"/>
    <w:rsid w:val="00CC038E"/>
    <w:rsid w:val="00CC36A7"/>
    <w:rsid w:val="00CC381D"/>
    <w:rsid w:val="00CD1E3A"/>
    <w:rsid w:val="00CD2569"/>
    <w:rsid w:val="00CD48E4"/>
    <w:rsid w:val="00CE037A"/>
    <w:rsid w:val="00CE7704"/>
    <w:rsid w:val="00CF112B"/>
    <w:rsid w:val="00CF1E72"/>
    <w:rsid w:val="00CF55D7"/>
    <w:rsid w:val="00CF6A28"/>
    <w:rsid w:val="00CF7255"/>
    <w:rsid w:val="00CF7B93"/>
    <w:rsid w:val="00D03496"/>
    <w:rsid w:val="00D06388"/>
    <w:rsid w:val="00D0645E"/>
    <w:rsid w:val="00D064C2"/>
    <w:rsid w:val="00D067D1"/>
    <w:rsid w:val="00D07BA7"/>
    <w:rsid w:val="00D12EBA"/>
    <w:rsid w:val="00D20A61"/>
    <w:rsid w:val="00D22A58"/>
    <w:rsid w:val="00D258DE"/>
    <w:rsid w:val="00D27DA1"/>
    <w:rsid w:val="00D31F92"/>
    <w:rsid w:val="00D35E17"/>
    <w:rsid w:val="00D373C0"/>
    <w:rsid w:val="00D45752"/>
    <w:rsid w:val="00D467E6"/>
    <w:rsid w:val="00D46AFF"/>
    <w:rsid w:val="00D47549"/>
    <w:rsid w:val="00D55AEC"/>
    <w:rsid w:val="00D60C46"/>
    <w:rsid w:val="00D61EE8"/>
    <w:rsid w:val="00D646EE"/>
    <w:rsid w:val="00D66B5E"/>
    <w:rsid w:val="00D71063"/>
    <w:rsid w:val="00D715A5"/>
    <w:rsid w:val="00D723CC"/>
    <w:rsid w:val="00D747B4"/>
    <w:rsid w:val="00D96FE5"/>
    <w:rsid w:val="00DA1E72"/>
    <w:rsid w:val="00DB1886"/>
    <w:rsid w:val="00DB1A28"/>
    <w:rsid w:val="00DB2DC5"/>
    <w:rsid w:val="00DC4780"/>
    <w:rsid w:val="00DD1C8E"/>
    <w:rsid w:val="00DD6845"/>
    <w:rsid w:val="00DD7500"/>
    <w:rsid w:val="00DE165D"/>
    <w:rsid w:val="00DF1F46"/>
    <w:rsid w:val="00DF273A"/>
    <w:rsid w:val="00DF32E8"/>
    <w:rsid w:val="00E0256F"/>
    <w:rsid w:val="00E060B8"/>
    <w:rsid w:val="00E14C56"/>
    <w:rsid w:val="00E25A90"/>
    <w:rsid w:val="00E35876"/>
    <w:rsid w:val="00E41634"/>
    <w:rsid w:val="00E42301"/>
    <w:rsid w:val="00E44F9F"/>
    <w:rsid w:val="00E46D28"/>
    <w:rsid w:val="00E500BC"/>
    <w:rsid w:val="00E52993"/>
    <w:rsid w:val="00E55367"/>
    <w:rsid w:val="00E60760"/>
    <w:rsid w:val="00E64B37"/>
    <w:rsid w:val="00E67F87"/>
    <w:rsid w:val="00E71F2D"/>
    <w:rsid w:val="00E74411"/>
    <w:rsid w:val="00E7753F"/>
    <w:rsid w:val="00E81A84"/>
    <w:rsid w:val="00E8465A"/>
    <w:rsid w:val="00E87821"/>
    <w:rsid w:val="00E90E43"/>
    <w:rsid w:val="00E91C66"/>
    <w:rsid w:val="00E927C5"/>
    <w:rsid w:val="00E96F71"/>
    <w:rsid w:val="00EA0CFA"/>
    <w:rsid w:val="00EA13C4"/>
    <w:rsid w:val="00EC013D"/>
    <w:rsid w:val="00EC09F8"/>
    <w:rsid w:val="00EC0F24"/>
    <w:rsid w:val="00EC6517"/>
    <w:rsid w:val="00ED09AB"/>
    <w:rsid w:val="00ED60AD"/>
    <w:rsid w:val="00ED766F"/>
    <w:rsid w:val="00EE17DF"/>
    <w:rsid w:val="00EE1DF2"/>
    <w:rsid w:val="00EE397C"/>
    <w:rsid w:val="00EE6C3B"/>
    <w:rsid w:val="00EF2188"/>
    <w:rsid w:val="00EF7033"/>
    <w:rsid w:val="00EF7773"/>
    <w:rsid w:val="00F12DF3"/>
    <w:rsid w:val="00F155CB"/>
    <w:rsid w:val="00F16B8B"/>
    <w:rsid w:val="00F16D96"/>
    <w:rsid w:val="00F212AE"/>
    <w:rsid w:val="00F21EE9"/>
    <w:rsid w:val="00F2263D"/>
    <w:rsid w:val="00F23598"/>
    <w:rsid w:val="00F24D96"/>
    <w:rsid w:val="00F40181"/>
    <w:rsid w:val="00F43C80"/>
    <w:rsid w:val="00F45736"/>
    <w:rsid w:val="00F45C7C"/>
    <w:rsid w:val="00F50BC0"/>
    <w:rsid w:val="00F51631"/>
    <w:rsid w:val="00F829EB"/>
    <w:rsid w:val="00F831D0"/>
    <w:rsid w:val="00F83C2B"/>
    <w:rsid w:val="00F844F4"/>
    <w:rsid w:val="00F84A64"/>
    <w:rsid w:val="00F90FE9"/>
    <w:rsid w:val="00F917FB"/>
    <w:rsid w:val="00FA031C"/>
    <w:rsid w:val="00FA320F"/>
    <w:rsid w:val="00FA3B1D"/>
    <w:rsid w:val="00FA69EE"/>
    <w:rsid w:val="00FA725A"/>
    <w:rsid w:val="00FB445C"/>
    <w:rsid w:val="00FB4EA5"/>
    <w:rsid w:val="00FB5269"/>
    <w:rsid w:val="00FD40C8"/>
    <w:rsid w:val="00FD4EFD"/>
    <w:rsid w:val="00FE49E1"/>
    <w:rsid w:val="00FE6CDA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1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15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1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158C"/>
    <w:rPr>
      <w:sz w:val="18"/>
      <w:szCs w:val="18"/>
    </w:rPr>
  </w:style>
  <w:style w:type="paragraph" w:customStyle="1" w:styleId="a5">
    <w:name w:val="大标题"/>
    <w:basedOn w:val="a"/>
    <w:uiPriority w:val="99"/>
    <w:rsid w:val="00B24ADF"/>
    <w:pPr>
      <w:spacing w:line="560" w:lineRule="exact"/>
      <w:jc w:val="center"/>
    </w:pPr>
    <w:rPr>
      <w:rFonts w:ascii="黑体" w:eastAsia="黑体" w:hAnsi="Times New Roman" w:cs="宋体"/>
      <w:sz w:val="36"/>
      <w:szCs w:val="20"/>
    </w:rPr>
  </w:style>
  <w:style w:type="paragraph" w:styleId="3">
    <w:name w:val="Body Text Indent 3"/>
    <w:basedOn w:val="a"/>
    <w:link w:val="3Char"/>
    <w:qFormat/>
    <w:rsid w:val="00B24ADF"/>
    <w:pPr>
      <w:ind w:firstLineChars="200" w:firstLine="560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3Char">
    <w:name w:val="正文文本缩进 3 Char"/>
    <w:basedOn w:val="a0"/>
    <w:link w:val="3"/>
    <w:qFormat/>
    <w:rsid w:val="00B24ADF"/>
    <w:rPr>
      <w:rFonts w:ascii="Times New Roman" w:eastAsia="宋体" w:hAnsi="Times New Roman" w:cs="Times New Roman"/>
      <w:color w:val="000000"/>
      <w:sz w:val="28"/>
      <w:szCs w:val="24"/>
    </w:rPr>
  </w:style>
  <w:style w:type="paragraph" w:styleId="a6">
    <w:name w:val="List Paragraph"/>
    <w:basedOn w:val="a"/>
    <w:uiPriority w:val="34"/>
    <w:qFormat/>
    <w:rsid w:val="00B24ADF"/>
    <w:pPr>
      <w:ind w:firstLineChars="200" w:firstLine="420"/>
    </w:pPr>
  </w:style>
  <w:style w:type="paragraph" w:customStyle="1" w:styleId="GB2312TimesNewRoman2">
    <w:name w:val="样式 样式 仿宋_GB2312 + Times New Roman 首行缩进:  2 字符"/>
    <w:basedOn w:val="a"/>
    <w:qFormat/>
    <w:rsid w:val="00C6743E"/>
    <w:pPr>
      <w:ind w:firstLineChars="200" w:firstLine="640"/>
    </w:pPr>
    <w:rPr>
      <w:rFonts w:ascii="Times New Roman" w:eastAsia="仿宋_GB2312" w:hAnsi="Times New Roman" w:cs="宋体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295</Words>
  <Characters>1688</Characters>
  <Application>Microsoft Office Word</Application>
  <DocSecurity>0</DocSecurity>
  <Lines>14</Lines>
  <Paragraphs>3</Paragraphs>
  <ScaleCrop>false</ScaleCrop>
  <Company>Lenovo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2021-10-13T01:59:00Z</dcterms:created>
  <dcterms:modified xsi:type="dcterms:W3CDTF">2021-10-13T02:17:00Z</dcterms:modified>
</cp:coreProperties>
</file>