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eastAsia="黑体"/>
          <w:color w:val="000000"/>
          <w:kern w:val="0"/>
          <w:sz w:val="32"/>
          <w:szCs w:val="32"/>
        </w:rPr>
      </w:pPr>
      <w:r>
        <w:rPr>
          <w:rFonts w:eastAsia="黑体"/>
          <w:color w:val="000000"/>
          <w:kern w:val="0"/>
          <w:sz w:val="32"/>
          <w:szCs w:val="32"/>
        </w:rPr>
        <w:t>202</w:t>
      </w:r>
      <w:r>
        <w:rPr>
          <w:rFonts w:hint="eastAsia" w:eastAsia="黑体"/>
          <w:color w:val="000000"/>
          <w:kern w:val="0"/>
          <w:sz w:val="32"/>
          <w:szCs w:val="32"/>
        </w:rPr>
        <w:t>2年度全国碘缺乏病监测报告</w:t>
      </w:r>
    </w:p>
    <w:p>
      <w:pPr>
        <w:spacing w:line="360" w:lineRule="auto"/>
        <w:jc w:val="center"/>
        <w:rPr>
          <w:rFonts w:hint="eastAsia" w:eastAsia="仿宋_GB2312"/>
          <w:b/>
          <w:color w:val="000000"/>
          <w:sz w:val="32"/>
          <w:szCs w:val="32"/>
        </w:rPr>
      </w:pPr>
      <w:r>
        <w:rPr>
          <w:rFonts w:hint="eastAsia" w:eastAsia="仿宋_GB2312"/>
          <w:b/>
          <w:color w:val="000000"/>
          <w:sz w:val="32"/>
          <w:szCs w:val="32"/>
        </w:rPr>
        <w:t>摘  要</w:t>
      </w:r>
    </w:p>
    <w:p>
      <w:pPr>
        <w:spacing w:line="360" w:lineRule="auto"/>
        <w:ind w:firstLine="420" w:firstLineChars="200"/>
        <w:rPr>
          <w:color w:val="000000"/>
          <w:szCs w:val="21"/>
        </w:rPr>
      </w:pPr>
      <w:r>
        <w:rPr>
          <w:color w:val="000000"/>
        </w:rPr>
        <w:t>为进一步了解人群碘营养状况，及时掌握</w:t>
      </w:r>
      <w:r>
        <w:rPr>
          <w:rFonts w:hint="eastAsia"/>
          <w:color w:val="000000"/>
        </w:rPr>
        <w:t>县级</w:t>
      </w:r>
      <w:r>
        <w:rPr>
          <w:color w:val="000000"/>
        </w:rPr>
        <w:t>人群碘营养</w:t>
      </w:r>
      <w:r>
        <w:rPr>
          <w:rFonts w:hint="eastAsia"/>
          <w:color w:val="000000"/>
        </w:rPr>
        <w:t>水平</w:t>
      </w:r>
      <w:r>
        <w:rPr>
          <w:color w:val="000000"/>
        </w:rPr>
        <w:t>及</w:t>
      </w:r>
      <w:r>
        <w:rPr>
          <w:rFonts w:hint="eastAsia"/>
          <w:color w:val="000000"/>
        </w:rPr>
        <w:t>碘缺乏病</w:t>
      </w:r>
      <w:r>
        <w:rPr>
          <w:color w:val="000000"/>
        </w:rPr>
        <w:t>病情的消长趋势，</w:t>
      </w:r>
      <w:r>
        <w:rPr>
          <w:rFonts w:hint="eastAsia"/>
          <w:color w:val="000000"/>
        </w:rPr>
        <w:t>积极推进</w:t>
      </w:r>
      <w:r>
        <w:rPr>
          <w:color w:val="000000"/>
        </w:rPr>
        <w:t>因地制宜、</w:t>
      </w:r>
      <w:r>
        <w:rPr>
          <w:rFonts w:hint="eastAsia"/>
          <w:color w:val="000000"/>
        </w:rPr>
        <w:t>分类指导和</w:t>
      </w:r>
      <w:r>
        <w:rPr>
          <w:color w:val="000000"/>
        </w:rPr>
        <w:t>科学补碘</w:t>
      </w:r>
      <w:r>
        <w:rPr>
          <w:rFonts w:hint="eastAsia"/>
          <w:color w:val="000000"/>
        </w:rPr>
        <w:t>的</w:t>
      </w:r>
      <w:r>
        <w:rPr>
          <w:color w:val="000000"/>
        </w:rPr>
        <w:t>防控策略，202</w:t>
      </w:r>
      <w:r>
        <w:rPr>
          <w:rFonts w:hint="eastAsia"/>
          <w:color w:val="000000"/>
        </w:rPr>
        <w:t>2年在国家卫生健康委部署下，中国疾病预防控制中心地方病控制中心依据《碘缺乏病监测方案（</w:t>
      </w:r>
      <w:r>
        <w:rPr>
          <w:color w:val="000000"/>
        </w:rPr>
        <w:t>2016</w:t>
      </w:r>
      <w:r>
        <w:rPr>
          <w:rFonts w:hint="eastAsia"/>
          <w:color w:val="000000"/>
        </w:rPr>
        <w:t>版）》，在全国</w:t>
      </w:r>
      <w:r>
        <w:rPr>
          <w:color w:val="000000"/>
          <w:szCs w:val="21"/>
        </w:rPr>
        <w:t>31</w:t>
      </w:r>
      <w:r>
        <w:rPr>
          <w:rFonts w:hint="eastAsia"/>
          <w:color w:val="000000"/>
          <w:szCs w:val="21"/>
        </w:rPr>
        <w:t>个省、自治区、直辖市（以下简称省份）及新疆生产建设兵团（以下简称兵团）组织</w:t>
      </w:r>
      <w:r>
        <w:rPr>
          <w:rFonts w:hint="eastAsia"/>
          <w:color w:val="000000"/>
        </w:rPr>
        <w:t>开展了全国碘缺乏病监测工作。</w:t>
      </w:r>
      <w:r>
        <w:rPr>
          <w:color w:val="000000"/>
          <w:szCs w:val="21"/>
        </w:rPr>
        <w:t>本次监测</w:t>
      </w:r>
      <w:r>
        <w:rPr>
          <w:rFonts w:hint="eastAsia"/>
          <w:color w:val="000000"/>
          <w:szCs w:val="21"/>
        </w:rPr>
        <w:t>以县为单位在全国所有非高碘地区开展，对全国31个省份及兵团</w:t>
      </w:r>
      <w:r>
        <w:rPr>
          <w:rFonts w:hint="eastAsia"/>
          <w:color w:val="000000"/>
        </w:rPr>
        <w:t>2783个县、市、区、旗（以下简称县）</w:t>
      </w:r>
      <w:r>
        <w:rPr>
          <w:rFonts w:hint="eastAsia"/>
          <w:color w:val="000000"/>
          <w:szCs w:val="21"/>
        </w:rPr>
        <w:t>的573413名8</w:t>
      </w:r>
      <w:r>
        <w:rPr>
          <w:rFonts w:hint="eastAsia"/>
          <w:color w:val="000000"/>
        </w:rPr>
        <w:t>~</w:t>
      </w:r>
      <w:r>
        <w:rPr>
          <w:rFonts w:hint="eastAsia"/>
          <w:color w:val="000000"/>
          <w:szCs w:val="21"/>
        </w:rPr>
        <w:t>10岁儿童和2750个县的283245名孕妇进行了尿碘含量的检测，对3</w:t>
      </w:r>
      <w:r>
        <w:rPr>
          <w:color w:val="000000"/>
          <w:szCs w:val="21"/>
        </w:rPr>
        <w:t>1</w:t>
      </w:r>
      <w:r>
        <w:rPr>
          <w:rFonts w:hint="eastAsia"/>
          <w:color w:val="000000"/>
          <w:szCs w:val="21"/>
        </w:rPr>
        <w:t>个省份及兵团1443个县的293991</w:t>
      </w:r>
      <w:r>
        <w:rPr>
          <w:color w:val="000000"/>
          <w:szCs w:val="21"/>
        </w:rPr>
        <w:t>名儿童</w:t>
      </w:r>
      <w:r>
        <w:rPr>
          <w:rFonts w:hint="eastAsia"/>
          <w:color w:val="000000"/>
          <w:szCs w:val="21"/>
        </w:rPr>
        <w:t>进行了</w:t>
      </w:r>
      <w:r>
        <w:rPr>
          <w:color w:val="000000"/>
          <w:szCs w:val="21"/>
        </w:rPr>
        <w:t>甲状腺容积</w:t>
      </w:r>
      <w:r>
        <w:rPr>
          <w:rFonts w:hint="eastAsia"/>
          <w:color w:val="000000"/>
          <w:szCs w:val="21"/>
        </w:rPr>
        <w:t>的检测，并对2785个县的儿童</w:t>
      </w:r>
      <w:bookmarkStart w:id="0" w:name="_GoBack"/>
      <w:bookmarkEnd w:id="0"/>
      <w:r>
        <w:rPr>
          <w:rFonts w:hint="eastAsia"/>
          <w:color w:val="000000"/>
          <w:szCs w:val="21"/>
        </w:rPr>
        <w:t>、孕妇和居民户</w:t>
      </w:r>
      <w:r>
        <w:rPr>
          <w:color w:val="000000"/>
          <w:szCs w:val="21"/>
        </w:rPr>
        <w:t>家中</w:t>
      </w:r>
      <w:r>
        <w:rPr>
          <w:rFonts w:hint="eastAsia"/>
          <w:color w:val="000000"/>
          <w:szCs w:val="21"/>
        </w:rPr>
        <w:t>851569份</w:t>
      </w:r>
      <w:r>
        <w:rPr>
          <w:color w:val="000000"/>
          <w:szCs w:val="21"/>
        </w:rPr>
        <w:t>食用盐</w:t>
      </w:r>
      <w:r>
        <w:rPr>
          <w:rFonts w:hint="eastAsia"/>
          <w:color w:val="000000"/>
          <w:szCs w:val="21"/>
        </w:rPr>
        <w:t>盐样进行了</w:t>
      </w:r>
      <w:r>
        <w:rPr>
          <w:color w:val="000000"/>
          <w:szCs w:val="21"/>
        </w:rPr>
        <w:t>碘含量</w:t>
      </w:r>
      <w:r>
        <w:rPr>
          <w:rFonts w:hint="eastAsia"/>
          <w:color w:val="000000"/>
          <w:szCs w:val="21"/>
        </w:rPr>
        <w:t>的检测。</w:t>
      </w:r>
    </w:p>
    <w:p>
      <w:pPr>
        <w:spacing w:line="360" w:lineRule="auto"/>
        <w:ind w:right="-68" w:firstLine="420" w:firstLineChars="200"/>
        <w:rPr>
          <w:color w:val="000000"/>
        </w:rPr>
      </w:pPr>
      <w:r>
        <w:rPr>
          <w:color w:val="000000"/>
        </w:rPr>
        <w:t>202</w:t>
      </w:r>
      <w:r>
        <w:rPr>
          <w:rFonts w:hint="eastAsia"/>
          <w:color w:val="000000"/>
        </w:rPr>
        <w:t>2</w:t>
      </w:r>
      <w:r>
        <w:rPr>
          <w:color w:val="000000"/>
        </w:rPr>
        <w:t>年</w:t>
      </w:r>
      <w:r>
        <w:rPr>
          <w:rFonts w:hint="eastAsia"/>
          <w:color w:val="000000"/>
        </w:rPr>
        <w:t>全国8~10岁</w:t>
      </w:r>
      <w:r>
        <w:rPr>
          <w:color w:val="000000"/>
        </w:rPr>
        <w:t>儿童尿碘中位数为</w:t>
      </w:r>
      <w:r>
        <w:rPr>
          <w:rFonts w:hint="eastAsia"/>
          <w:color w:val="000000"/>
        </w:rPr>
        <w:t>212.4</w:t>
      </w:r>
      <w:r>
        <w:rPr>
          <w:color w:val="000000"/>
        </w:rPr>
        <w:sym w:font="Symbol" w:char="006D"/>
      </w:r>
      <w:r>
        <w:rPr>
          <w:color w:val="000000"/>
        </w:rPr>
        <w:t>g/L</w:t>
      </w:r>
      <w:r>
        <w:rPr>
          <w:rFonts w:hint="eastAsia"/>
          <w:color w:val="000000"/>
        </w:rPr>
        <w:t>，省级水平上，15</w:t>
      </w:r>
      <w:r>
        <w:rPr>
          <w:color w:val="000000"/>
        </w:rPr>
        <w:t>个省份</w:t>
      </w:r>
      <w:r>
        <w:rPr>
          <w:rFonts w:hint="eastAsia"/>
          <w:color w:val="000000"/>
        </w:rPr>
        <w:t>和兵团</w:t>
      </w:r>
      <w:r>
        <w:rPr>
          <w:color w:val="000000"/>
        </w:rPr>
        <w:t>尿碘中位数在100~199</w:t>
      </w:r>
      <w:r>
        <w:rPr>
          <w:color w:val="000000"/>
        </w:rPr>
        <w:sym w:font="Symbol" w:char="006D"/>
      </w:r>
      <w:r>
        <w:rPr>
          <w:color w:val="000000"/>
        </w:rPr>
        <w:t>g/L之间</w:t>
      </w:r>
      <w:r>
        <w:rPr>
          <w:rFonts w:hint="eastAsia"/>
          <w:color w:val="000000"/>
        </w:rPr>
        <w:t>，16</w:t>
      </w:r>
      <w:r>
        <w:rPr>
          <w:color w:val="000000"/>
        </w:rPr>
        <w:t>个省份尿碘中位数在200~299</w:t>
      </w:r>
      <w:r>
        <w:rPr>
          <w:color w:val="000000"/>
        </w:rPr>
        <w:sym w:font="Symbol" w:char="006D"/>
      </w:r>
      <w:r>
        <w:rPr>
          <w:color w:val="000000"/>
        </w:rPr>
        <w:t>g/L之间</w:t>
      </w:r>
      <w:r>
        <w:rPr>
          <w:rFonts w:hint="eastAsia"/>
          <w:color w:val="000000"/>
        </w:rPr>
        <w:t>；县级水平上，</w:t>
      </w:r>
      <w:r>
        <w:rPr>
          <w:rFonts w:hint="eastAsia"/>
          <w:color w:val="000000"/>
          <w:szCs w:val="18"/>
        </w:rPr>
        <w:t>2783</w:t>
      </w:r>
      <w:r>
        <w:rPr>
          <w:rFonts w:hint="eastAsia"/>
          <w:color w:val="000000"/>
        </w:rPr>
        <w:t>个监测县中，2个县儿童尿碘中位数小于100</w:t>
      </w:r>
      <w:r>
        <w:rPr>
          <w:color w:val="000000"/>
        </w:rPr>
        <w:sym w:font="Symbol" w:char="006D"/>
      </w:r>
      <w:r>
        <w:rPr>
          <w:color w:val="000000"/>
        </w:rPr>
        <w:t>g/L</w:t>
      </w:r>
      <w:r>
        <w:rPr>
          <w:rFonts w:hint="eastAsia"/>
          <w:color w:val="000000"/>
        </w:rPr>
        <w:t>，1320个县儿童尿碘中位数处于100~199</w:t>
      </w:r>
      <w:r>
        <w:rPr>
          <w:color w:val="000000"/>
        </w:rPr>
        <w:sym w:font="Symbol" w:char="006D"/>
      </w:r>
      <w:r>
        <w:rPr>
          <w:color w:val="000000"/>
        </w:rPr>
        <w:t>g/L</w:t>
      </w:r>
      <w:r>
        <w:rPr>
          <w:rFonts w:hint="eastAsia"/>
          <w:color w:val="000000"/>
        </w:rPr>
        <w:t>之间，1338个县儿童尿碘中位数处于200~299</w:t>
      </w:r>
      <w:r>
        <w:rPr>
          <w:color w:val="000000"/>
        </w:rPr>
        <w:sym w:font="Symbol" w:char="006D"/>
      </w:r>
      <w:r>
        <w:rPr>
          <w:color w:val="000000"/>
        </w:rPr>
        <w:t>g/L</w:t>
      </w:r>
      <w:r>
        <w:rPr>
          <w:rFonts w:hint="eastAsia"/>
          <w:color w:val="000000"/>
        </w:rPr>
        <w:t>之间，123个县儿童尿碘中位数大于300</w:t>
      </w:r>
      <w:r>
        <w:rPr>
          <w:color w:val="000000"/>
        </w:rPr>
        <w:sym w:font="Symbol" w:char="006D"/>
      </w:r>
      <w:r>
        <w:rPr>
          <w:color w:val="000000"/>
        </w:rPr>
        <w:t>g/L</w:t>
      </w:r>
      <w:r>
        <w:rPr>
          <w:rFonts w:hint="eastAsia"/>
          <w:color w:val="000000"/>
        </w:rPr>
        <w:t>。全国</w:t>
      </w:r>
      <w:r>
        <w:rPr>
          <w:color w:val="000000"/>
        </w:rPr>
        <w:t>孕妇尿碘中位数为</w:t>
      </w:r>
      <w:r>
        <w:rPr>
          <w:rFonts w:hint="eastAsia"/>
          <w:color w:val="000000"/>
        </w:rPr>
        <w:t>170.5</w:t>
      </w:r>
      <w:r>
        <w:rPr>
          <w:color w:val="000000"/>
        </w:rPr>
        <w:sym w:font="Symbol" w:char="006D"/>
      </w:r>
      <w:r>
        <w:rPr>
          <w:color w:val="000000"/>
        </w:rPr>
        <w:t>g/L</w:t>
      </w:r>
      <w:r>
        <w:rPr>
          <w:rFonts w:hint="eastAsia"/>
          <w:color w:val="000000"/>
        </w:rPr>
        <w:t>，省级水平上，5</w:t>
      </w:r>
      <w:r>
        <w:rPr>
          <w:color w:val="000000"/>
        </w:rPr>
        <w:t>个省份尿碘中位数介于100</w:t>
      </w:r>
      <w:r>
        <w:rPr>
          <w:color w:val="000000"/>
        </w:rPr>
        <w:sym w:font="Symbol" w:char="006D"/>
      </w:r>
      <w:r>
        <w:rPr>
          <w:color w:val="000000"/>
        </w:rPr>
        <w:t>g/L至149</w:t>
      </w:r>
      <w:r>
        <w:rPr>
          <w:color w:val="000000"/>
        </w:rPr>
        <w:sym w:font="Symbol" w:char="006D"/>
      </w:r>
      <w:r>
        <w:rPr>
          <w:color w:val="000000"/>
        </w:rPr>
        <w:t>g/L之间</w:t>
      </w:r>
      <w:r>
        <w:rPr>
          <w:rFonts w:hint="eastAsia"/>
          <w:color w:val="000000"/>
        </w:rPr>
        <w:t>，26</w:t>
      </w:r>
      <w:r>
        <w:rPr>
          <w:color w:val="000000"/>
        </w:rPr>
        <w:t>个省份</w:t>
      </w:r>
      <w:r>
        <w:rPr>
          <w:rFonts w:hint="eastAsia"/>
          <w:color w:val="000000"/>
        </w:rPr>
        <w:t>及兵团</w:t>
      </w:r>
      <w:r>
        <w:rPr>
          <w:color w:val="000000"/>
        </w:rPr>
        <w:t>尿碘中位数介于150</w:t>
      </w:r>
      <w:r>
        <w:rPr>
          <w:rFonts w:hint="eastAsia"/>
          <w:color w:val="000000"/>
        </w:rPr>
        <w:t>~</w:t>
      </w:r>
      <w:r>
        <w:rPr>
          <w:color w:val="000000"/>
        </w:rPr>
        <w:t>249</w:t>
      </w:r>
      <w:r>
        <w:rPr>
          <w:color w:val="000000"/>
        </w:rPr>
        <w:sym w:font="Symbol" w:char="006D"/>
      </w:r>
      <w:r>
        <w:rPr>
          <w:color w:val="000000"/>
        </w:rPr>
        <w:t>g/L之间</w:t>
      </w:r>
      <w:r>
        <w:rPr>
          <w:rFonts w:hint="eastAsia"/>
          <w:color w:val="000000"/>
        </w:rPr>
        <w:t>；县级水平上，2750个监测县中，40个县孕妇尿碘中位数小于100</w:t>
      </w:r>
      <w:r>
        <w:rPr>
          <w:color w:val="000000"/>
        </w:rPr>
        <w:sym w:font="Symbol" w:char="006D"/>
      </w:r>
      <w:r>
        <w:rPr>
          <w:color w:val="000000"/>
        </w:rPr>
        <w:t>g/L</w:t>
      </w:r>
      <w:r>
        <w:rPr>
          <w:rFonts w:hint="eastAsia"/>
          <w:color w:val="000000"/>
        </w:rPr>
        <w:t>，660个县孕妇尿碘中位数处于100~149</w:t>
      </w:r>
      <w:r>
        <w:rPr>
          <w:color w:val="000000"/>
        </w:rPr>
        <w:sym w:font="Symbol" w:char="006D"/>
      </w:r>
      <w:r>
        <w:rPr>
          <w:color w:val="000000"/>
        </w:rPr>
        <w:t>g/L</w:t>
      </w:r>
      <w:r>
        <w:rPr>
          <w:rFonts w:hint="eastAsia"/>
          <w:color w:val="000000"/>
        </w:rPr>
        <w:t>之间，1932个县孕妇尿碘中位数处于150~249</w:t>
      </w:r>
      <w:r>
        <w:rPr>
          <w:color w:val="000000"/>
        </w:rPr>
        <w:sym w:font="Symbol" w:char="006D"/>
      </w:r>
      <w:r>
        <w:rPr>
          <w:color w:val="000000"/>
        </w:rPr>
        <w:t>g/L</w:t>
      </w:r>
      <w:r>
        <w:rPr>
          <w:rFonts w:hint="eastAsia"/>
          <w:color w:val="000000"/>
        </w:rPr>
        <w:t>之间，117个县孕妇尿碘中位数处于250~499</w:t>
      </w:r>
      <w:r>
        <w:rPr>
          <w:color w:val="000000"/>
        </w:rPr>
        <w:sym w:font="Symbol" w:char="F06D"/>
      </w:r>
      <w:r>
        <w:rPr>
          <w:color w:val="000000"/>
        </w:rPr>
        <w:t>g/L</w:t>
      </w:r>
      <w:r>
        <w:rPr>
          <w:rFonts w:hint="eastAsia"/>
          <w:color w:val="000000"/>
        </w:rPr>
        <w:t>，1个县孕妇尿碘中位数大于500</w:t>
      </w:r>
      <w:r>
        <w:rPr>
          <w:color w:val="000000"/>
        </w:rPr>
        <w:sym w:font="Symbol" w:char="F06D"/>
      </w:r>
      <w:r>
        <w:rPr>
          <w:color w:val="000000"/>
        </w:rPr>
        <w:t>g/L</w:t>
      </w:r>
      <w:r>
        <w:rPr>
          <w:rFonts w:hint="eastAsia"/>
          <w:color w:val="000000"/>
        </w:rPr>
        <w:t>。</w:t>
      </w:r>
      <w:r>
        <w:rPr>
          <w:color w:val="000000"/>
        </w:rPr>
        <w:t>全国</w:t>
      </w:r>
      <w:r>
        <w:rPr>
          <w:rFonts w:hint="eastAsia"/>
          <w:color w:val="000000"/>
        </w:rPr>
        <w:t>8～10岁</w:t>
      </w:r>
      <w:r>
        <w:rPr>
          <w:color w:val="000000"/>
        </w:rPr>
        <w:t>儿童B超法甲状腺肿大率（以下简称甲肿率）为</w:t>
      </w:r>
      <w:r>
        <w:rPr>
          <w:rFonts w:hint="eastAsia"/>
          <w:color w:val="000000"/>
        </w:rPr>
        <w:t>1</w:t>
      </w:r>
      <w:r>
        <w:rPr>
          <w:color w:val="000000"/>
        </w:rPr>
        <w:t>.</w:t>
      </w:r>
      <w:r>
        <w:rPr>
          <w:rFonts w:hint="eastAsia"/>
          <w:color w:val="000000"/>
        </w:rPr>
        <w:t>5</w:t>
      </w:r>
      <w:r>
        <w:rPr>
          <w:color w:val="000000"/>
        </w:rPr>
        <w:t>%</w:t>
      </w:r>
      <w:r>
        <w:rPr>
          <w:rFonts w:hint="eastAsia"/>
          <w:color w:val="000000"/>
        </w:rPr>
        <w:t>，全国进行甲状腺容积检测的30个省份和兵团中（除上海外），所有省份和兵团甲肿率均低于5%；</w:t>
      </w:r>
      <w:r>
        <w:rPr>
          <w:rFonts w:hint="eastAsia"/>
          <w:color w:val="000000"/>
          <w:szCs w:val="20"/>
        </w:rPr>
        <w:t>1443个监测县中20个县儿童甲肿率超过5%</w:t>
      </w:r>
      <w:r>
        <w:rPr>
          <w:rFonts w:hint="eastAsia"/>
          <w:color w:val="000000"/>
        </w:rPr>
        <w:t>。全国</w:t>
      </w:r>
      <w:r>
        <w:rPr>
          <w:color w:val="000000"/>
        </w:rPr>
        <w:t>碘盐覆盖率为</w:t>
      </w:r>
      <w:r>
        <w:rPr>
          <w:rFonts w:hint="eastAsia"/>
          <w:color w:val="000000"/>
        </w:rPr>
        <w:t>95.6</w:t>
      </w:r>
      <w:r>
        <w:rPr>
          <w:color w:val="000000"/>
        </w:rPr>
        <w:t>%，31个省份及兵团中有2</w:t>
      </w:r>
      <w:r>
        <w:rPr>
          <w:rFonts w:hint="eastAsia"/>
          <w:color w:val="000000"/>
        </w:rPr>
        <w:t>4</w:t>
      </w:r>
      <w:r>
        <w:rPr>
          <w:color w:val="000000"/>
        </w:rPr>
        <w:t>个省份及兵团碘盐覆盖率大于95%，</w:t>
      </w:r>
      <w:r>
        <w:rPr>
          <w:rFonts w:hint="eastAsia"/>
          <w:color w:val="000000"/>
        </w:rPr>
        <w:t>上海、天津、山东、北京、安徽、浙江和福建</w:t>
      </w:r>
      <w:r>
        <w:rPr>
          <w:color w:val="000000"/>
        </w:rPr>
        <w:t>碘盐覆盖率</w:t>
      </w:r>
      <w:r>
        <w:rPr>
          <w:rFonts w:hint="eastAsia"/>
          <w:color w:val="000000"/>
        </w:rPr>
        <w:t>低于</w:t>
      </w:r>
      <w:r>
        <w:rPr>
          <w:color w:val="000000"/>
        </w:rPr>
        <w:t>9</w:t>
      </w:r>
      <w:r>
        <w:rPr>
          <w:rFonts w:hint="eastAsia"/>
          <w:color w:val="000000"/>
        </w:rPr>
        <w:t>5%；县级水平上，2785个县中2478个县碘盐覆盖率大于等于95%，307个县碘盐覆盖率低于95%。全国</w:t>
      </w:r>
      <w:r>
        <w:rPr>
          <w:color w:val="000000"/>
        </w:rPr>
        <w:t>合格碘盐食用率为</w:t>
      </w:r>
      <w:r>
        <w:rPr>
          <w:rFonts w:hint="eastAsia"/>
          <w:color w:val="000000"/>
        </w:rPr>
        <w:t>91.2</w:t>
      </w:r>
      <w:r>
        <w:rPr>
          <w:color w:val="000000"/>
        </w:rPr>
        <w:t>%，31个省份及兵团中有</w:t>
      </w:r>
      <w:r>
        <w:rPr>
          <w:rFonts w:hint="eastAsia"/>
          <w:color w:val="000000"/>
        </w:rPr>
        <w:t>25</w:t>
      </w:r>
      <w:r>
        <w:rPr>
          <w:color w:val="000000"/>
        </w:rPr>
        <w:t>个省份及兵团合格碘盐食用率达到了90%以上</w:t>
      </w:r>
      <w:r>
        <w:rPr>
          <w:rFonts w:hint="eastAsia"/>
          <w:color w:val="000000"/>
        </w:rPr>
        <w:t>，</w:t>
      </w:r>
      <w:r>
        <w:rPr>
          <w:color w:val="000000"/>
        </w:rPr>
        <w:t>上海、天津、</w:t>
      </w:r>
      <w:r>
        <w:rPr>
          <w:rFonts w:hint="eastAsia"/>
          <w:color w:val="000000"/>
        </w:rPr>
        <w:t>山</w:t>
      </w:r>
      <w:r>
        <w:rPr>
          <w:color w:val="000000"/>
        </w:rPr>
        <w:t>东</w:t>
      </w:r>
      <w:r>
        <w:rPr>
          <w:rFonts w:hint="eastAsia"/>
          <w:color w:val="000000"/>
        </w:rPr>
        <w:t>、北京、河南和安徽6个省份合格碘盐食用率低于90%；县级水平上，2785个县中2438个县合格碘盐食用率大于90%，347个县合格碘盐食用率小于等于90%。全国加碘盐盐碘均数为24.8mg/kg，选择碘盐浓度为25mg/kg、30mg/kg和25/30mg/kg的省份加碘盐盐碘均数分别为23.9mg/kg、26.5mg/kg和24.4mg/kg。全国加碘盐</w:t>
      </w:r>
      <w:r>
        <w:rPr>
          <w:color w:val="000000"/>
        </w:rPr>
        <w:t>盐碘</w:t>
      </w:r>
      <w:r>
        <w:rPr>
          <w:rFonts w:hint="eastAsia"/>
          <w:color w:val="000000"/>
        </w:rPr>
        <w:t>变异系数为14</w:t>
      </w:r>
      <w:r>
        <w:rPr>
          <w:color w:val="000000"/>
        </w:rPr>
        <w:t>.</w:t>
      </w:r>
      <w:r>
        <w:rPr>
          <w:rFonts w:hint="eastAsia"/>
          <w:color w:val="000000"/>
        </w:rPr>
        <w:t>0%，全国没有加碘盐变异系数大于30%的省份。</w:t>
      </w:r>
    </w:p>
    <w:p>
      <w:pPr>
        <w:spacing w:line="360" w:lineRule="auto"/>
        <w:ind w:firstLine="420" w:firstLineChars="200"/>
        <w:rPr>
          <w:color w:val="000000"/>
        </w:rPr>
      </w:pPr>
      <w:r>
        <w:rPr>
          <w:color w:val="000000"/>
        </w:rPr>
        <w:t>本次监测表明，8~10岁儿童尿碘中位数为</w:t>
      </w:r>
      <w:r>
        <w:rPr>
          <w:rFonts w:hint="eastAsia"/>
          <w:color w:val="000000"/>
        </w:rPr>
        <w:t>212.4</w:t>
      </w:r>
      <w:r>
        <w:rPr>
          <w:color w:val="000000"/>
        </w:rPr>
        <w:sym w:font="Symbol" w:char="006D"/>
      </w:r>
      <w:r>
        <w:rPr>
          <w:color w:val="000000"/>
        </w:rPr>
        <w:t>g/L，尿碘小于50</w:t>
      </w:r>
      <w:r>
        <w:rPr>
          <w:color w:val="000000"/>
        </w:rPr>
        <w:sym w:font="Symbol" w:char="006D"/>
      </w:r>
      <w:r>
        <w:rPr>
          <w:color w:val="000000"/>
        </w:rPr>
        <w:t>g/L的比例为</w:t>
      </w:r>
      <w:r>
        <w:rPr>
          <w:rFonts w:hint="eastAsia"/>
          <w:color w:val="000000"/>
        </w:rPr>
        <w:t>3.1</w:t>
      </w:r>
      <w:r>
        <w:rPr>
          <w:color w:val="000000"/>
        </w:rPr>
        <w:t>%，全国儿童甲肿率为1.</w:t>
      </w:r>
      <w:r>
        <w:rPr>
          <w:rFonts w:hint="eastAsia"/>
          <w:color w:val="000000"/>
        </w:rPr>
        <w:t>5</w:t>
      </w:r>
      <w:r>
        <w:rPr>
          <w:color w:val="000000"/>
        </w:rPr>
        <w:t>%</w:t>
      </w:r>
      <w:r>
        <w:rPr>
          <w:rFonts w:hint="eastAsia"/>
          <w:color w:val="000000"/>
        </w:rPr>
        <w:t>；</w:t>
      </w:r>
      <w:r>
        <w:rPr>
          <w:color w:val="000000"/>
        </w:rPr>
        <w:t>碘盐覆盖率为</w:t>
      </w:r>
      <w:r>
        <w:rPr>
          <w:rFonts w:hint="eastAsia"/>
          <w:color w:val="000000"/>
        </w:rPr>
        <w:t>95.6</w:t>
      </w:r>
      <w:r>
        <w:rPr>
          <w:color w:val="000000"/>
        </w:rPr>
        <w:t>%，合格碘盐食用率为</w:t>
      </w:r>
      <w:r>
        <w:rPr>
          <w:rFonts w:hint="eastAsia"/>
          <w:color w:val="000000"/>
        </w:rPr>
        <w:t>91.2</w:t>
      </w:r>
      <w:r>
        <w:rPr>
          <w:color w:val="000000"/>
        </w:rPr>
        <w:t>%</w:t>
      </w:r>
      <w:r>
        <w:rPr>
          <w:rFonts w:hint="eastAsia"/>
          <w:color w:val="000000"/>
        </w:rPr>
        <w:t>，</w:t>
      </w:r>
      <w:r>
        <w:rPr>
          <w:color w:val="000000"/>
        </w:rPr>
        <w:t>各项指标满足</w:t>
      </w:r>
      <w:r>
        <w:rPr>
          <w:rFonts w:hint="eastAsia"/>
          <w:color w:val="000000"/>
        </w:rPr>
        <w:t>国家层面上</w:t>
      </w:r>
      <w:r>
        <w:rPr>
          <w:color w:val="000000"/>
        </w:rPr>
        <w:t>碘缺乏病消除标准的要求。结合2005年</w:t>
      </w:r>
      <w:r>
        <w:rPr>
          <w:rFonts w:hint="eastAsia"/>
          <w:color w:val="000000"/>
        </w:rPr>
        <w:t>、</w:t>
      </w:r>
      <w:r>
        <w:rPr>
          <w:color w:val="000000"/>
        </w:rPr>
        <w:t>2011年</w:t>
      </w:r>
      <w:r>
        <w:rPr>
          <w:rFonts w:hint="eastAsia"/>
          <w:color w:val="000000"/>
        </w:rPr>
        <w:t>、2014年、2016年、2017年、2</w:t>
      </w:r>
      <w:r>
        <w:rPr>
          <w:color w:val="000000"/>
        </w:rPr>
        <w:t>018</w:t>
      </w:r>
      <w:r>
        <w:rPr>
          <w:rFonts w:hint="eastAsia"/>
          <w:color w:val="000000"/>
        </w:rPr>
        <w:t>年、2019年、2020年和2021年</w:t>
      </w:r>
      <w:r>
        <w:rPr>
          <w:color w:val="000000"/>
        </w:rPr>
        <w:t>的监测结果可以看出，我国自2005年以来始终处于持续消除</w:t>
      </w:r>
      <w:r>
        <w:rPr>
          <w:rFonts w:hint="eastAsia"/>
          <w:color w:val="000000"/>
        </w:rPr>
        <w:t>碘缺乏病</w:t>
      </w:r>
      <w:r>
        <w:rPr>
          <w:color w:val="000000"/>
        </w:rPr>
        <w:t>状态</w:t>
      </w:r>
      <w:r>
        <w:rPr>
          <w:rFonts w:hint="eastAsia"/>
          <w:color w:val="000000"/>
        </w:rPr>
        <w:t>。</w:t>
      </w:r>
    </w:p>
    <w:p>
      <w:pPr>
        <w:spacing w:line="360" w:lineRule="auto"/>
        <w:ind w:firstLine="420" w:firstLineChars="200"/>
        <w:rPr>
          <w:color w:val="000000"/>
        </w:rPr>
      </w:pPr>
      <w:r>
        <w:rPr>
          <w:rFonts w:hint="eastAsia"/>
          <w:color w:val="000000"/>
        </w:rPr>
        <w:t>本次监测结果虽然在国家层面上处于碘缺乏病消除状态，然而，</w:t>
      </w:r>
      <w:r>
        <w:rPr>
          <w:color w:val="000000"/>
        </w:rPr>
        <w:t>监测</w:t>
      </w:r>
      <w:r>
        <w:rPr>
          <w:rFonts w:hint="eastAsia"/>
          <w:color w:val="000000"/>
        </w:rPr>
        <w:t>中还发现一些问题。20</w:t>
      </w:r>
      <w:r>
        <w:rPr>
          <w:color w:val="000000"/>
        </w:rPr>
        <w:t>个</w:t>
      </w:r>
      <w:r>
        <w:rPr>
          <w:rFonts w:hint="eastAsia"/>
          <w:color w:val="000000"/>
        </w:rPr>
        <w:t>县儿童</w:t>
      </w:r>
      <w:r>
        <w:rPr>
          <w:color w:val="000000"/>
        </w:rPr>
        <w:t>甲肿率</w:t>
      </w:r>
      <w:r>
        <w:rPr>
          <w:rFonts w:hint="eastAsia"/>
          <w:color w:val="000000"/>
        </w:rPr>
        <w:t>大于</w:t>
      </w:r>
      <w:r>
        <w:rPr>
          <w:color w:val="000000"/>
        </w:rPr>
        <w:t>5%，</w:t>
      </w:r>
      <w:r>
        <w:rPr>
          <w:rFonts w:hint="eastAsia"/>
          <w:color w:val="000000"/>
        </w:rPr>
        <w:t>2个县儿童尿碘中位数小于100</w:t>
      </w:r>
      <w:r>
        <w:rPr>
          <w:color w:val="000000"/>
        </w:rPr>
        <w:sym w:font="Symbol" w:char="006D"/>
      </w:r>
      <w:r>
        <w:rPr>
          <w:color w:val="000000"/>
        </w:rPr>
        <w:t>g/L</w:t>
      </w:r>
      <w:r>
        <w:rPr>
          <w:rFonts w:hint="eastAsia"/>
          <w:color w:val="000000"/>
        </w:rPr>
        <w:t>，40个县孕妇尿碘中位数小于100</w:t>
      </w:r>
      <w:r>
        <w:rPr>
          <w:color w:val="000000"/>
        </w:rPr>
        <w:sym w:font="Symbol" w:char="006D"/>
      </w:r>
      <w:r>
        <w:rPr>
          <w:color w:val="000000"/>
        </w:rPr>
        <w:t>g/L</w:t>
      </w:r>
      <w:r>
        <w:rPr>
          <w:rFonts w:hint="eastAsia"/>
          <w:color w:val="000000"/>
        </w:rPr>
        <w:t>。因</w:t>
      </w:r>
      <w:r>
        <w:rPr>
          <w:color w:val="000000"/>
        </w:rPr>
        <w:t>此，需要突出重点</w:t>
      </w:r>
      <w:r>
        <w:rPr>
          <w:rFonts w:hint="eastAsia"/>
          <w:color w:val="000000"/>
        </w:rPr>
        <w:t>，进一步落实</w:t>
      </w:r>
      <w:r>
        <w:rPr>
          <w:color w:val="000000"/>
        </w:rPr>
        <w:t>因地制宜、分类指导</w:t>
      </w:r>
      <w:r>
        <w:rPr>
          <w:rFonts w:hint="eastAsia"/>
          <w:color w:val="000000"/>
        </w:rPr>
        <w:t>与差异化干预、</w:t>
      </w:r>
      <w:r>
        <w:rPr>
          <w:color w:val="000000"/>
        </w:rPr>
        <w:t>科学</w:t>
      </w:r>
      <w:r>
        <w:rPr>
          <w:rFonts w:hint="eastAsia"/>
          <w:color w:val="000000"/>
        </w:rPr>
        <w:t>与精准</w:t>
      </w:r>
      <w:r>
        <w:rPr>
          <w:color w:val="000000"/>
        </w:rPr>
        <w:t>补碘</w:t>
      </w:r>
      <w:r>
        <w:rPr>
          <w:rFonts w:hint="eastAsia"/>
          <w:color w:val="000000"/>
        </w:rPr>
        <w:t>的防控</w:t>
      </w:r>
      <w:r>
        <w:rPr>
          <w:color w:val="000000"/>
        </w:rPr>
        <w:t>策略。</w:t>
      </w:r>
    </w:p>
    <w:p>
      <w:pPr>
        <w:rPr>
          <w:rFonts w:eastAsia="黑体"/>
          <w:sz w:val="40"/>
          <w:szCs w:val="32"/>
        </w:rPr>
      </w:pPr>
    </w:p>
    <w:p>
      <w:pPr>
        <w:rPr>
          <w:rFonts w:eastAsia="黑体"/>
          <w:sz w:val="40"/>
          <w:szCs w:val="32"/>
        </w:rPr>
      </w:pPr>
      <w:r>
        <w:rPr>
          <w:rFonts w:eastAsia="黑体"/>
          <w:sz w:val="40"/>
          <w:szCs w:val="32"/>
        </w:rPr>
        <w:br w:type="page"/>
      </w:r>
    </w:p>
    <w:p>
      <w:pPr>
        <w:spacing w:line="360" w:lineRule="auto"/>
        <w:jc w:val="center"/>
        <w:rPr>
          <w:rFonts w:eastAsia="黑体"/>
          <w:color w:val="000000"/>
          <w:kern w:val="0"/>
          <w:sz w:val="32"/>
          <w:szCs w:val="32"/>
        </w:rPr>
      </w:pPr>
      <w:r>
        <w:rPr>
          <w:rFonts w:eastAsia="黑体"/>
          <w:color w:val="000000"/>
          <w:kern w:val="0"/>
          <w:sz w:val="32"/>
          <w:szCs w:val="32"/>
        </w:rPr>
        <w:t>202</w:t>
      </w:r>
      <w:r>
        <w:rPr>
          <w:rFonts w:hint="eastAsia" w:eastAsia="黑体"/>
          <w:color w:val="000000"/>
          <w:kern w:val="0"/>
          <w:sz w:val="32"/>
          <w:szCs w:val="32"/>
        </w:rPr>
        <w:t>2年</w:t>
      </w:r>
      <w:r>
        <w:rPr>
          <w:rFonts w:hint="eastAsia" w:eastAsia="黑体"/>
          <w:color w:val="000000"/>
          <w:kern w:val="0"/>
          <w:sz w:val="32"/>
          <w:szCs w:val="32"/>
          <w:lang w:eastAsia="zh-CN"/>
        </w:rPr>
        <w:t>度</w:t>
      </w:r>
      <w:r>
        <w:rPr>
          <w:rFonts w:hint="eastAsia" w:eastAsia="黑体"/>
          <w:color w:val="000000"/>
          <w:kern w:val="0"/>
          <w:sz w:val="32"/>
          <w:szCs w:val="32"/>
        </w:rPr>
        <w:t>全国水源性高碘地区监测报告</w:t>
      </w:r>
    </w:p>
    <w:p>
      <w:pPr>
        <w:spacing w:line="360" w:lineRule="auto"/>
        <w:jc w:val="center"/>
        <w:rPr>
          <w:rFonts w:eastAsia="仿宋_GB2312"/>
          <w:b/>
          <w:color w:val="000000"/>
          <w:sz w:val="32"/>
          <w:szCs w:val="32"/>
        </w:rPr>
      </w:pPr>
      <w:r>
        <w:rPr>
          <w:rFonts w:hint="eastAsia" w:eastAsia="仿宋_GB2312"/>
          <w:b/>
          <w:color w:val="000000"/>
          <w:sz w:val="32"/>
          <w:szCs w:val="32"/>
        </w:rPr>
        <w:t>摘  要</w:t>
      </w:r>
    </w:p>
    <w:p>
      <w:pPr>
        <w:spacing w:before="156" w:beforeLines="50" w:line="360" w:lineRule="auto"/>
        <w:ind w:firstLine="480" w:firstLineChars="200"/>
        <w:rPr>
          <w:color w:val="000000"/>
          <w:sz w:val="24"/>
        </w:rPr>
      </w:pPr>
      <w:r>
        <w:rPr>
          <w:rFonts w:hint="eastAsia"/>
          <w:color w:val="000000"/>
          <w:sz w:val="24"/>
        </w:rPr>
        <w:t>为有效保护水源性高碘地区居民的身体健康，</w:t>
      </w:r>
      <w:r>
        <w:rPr>
          <w:color w:val="000000"/>
          <w:sz w:val="24"/>
        </w:rPr>
        <w:t>动态评价内外环境碘含量变化及病情的消长趋势，</w:t>
      </w:r>
      <w:r>
        <w:rPr>
          <w:rFonts w:hint="eastAsia"/>
          <w:color w:val="000000"/>
          <w:sz w:val="24"/>
        </w:rPr>
        <w:t>落实《地方病防治专项三年攻坚行动方案（2018—2020年）》和《健康中国行动（2019—2030年）》提出的“有效控制水源性高碘危害”，2022年，在国家疾控局</w:t>
      </w:r>
      <w:r>
        <w:rPr>
          <w:color w:val="000000"/>
          <w:sz w:val="24"/>
        </w:rPr>
        <w:t>部署</w:t>
      </w:r>
      <w:r>
        <w:rPr>
          <w:rFonts w:hint="eastAsia"/>
          <w:color w:val="000000"/>
          <w:sz w:val="24"/>
        </w:rPr>
        <w:t>下，</w:t>
      </w:r>
      <w:r>
        <w:rPr>
          <w:color w:val="000000"/>
          <w:sz w:val="24"/>
        </w:rPr>
        <w:t>由中国疾病预防控制中心地方病控制中心（以下简称地病中心）</w:t>
      </w:r>
      <w:r>
        <w:rPr>
          <w:rFonts w:hint="eastAsia"/>
          <w:color w:val="000000"/>
          <w:sz w:val="24"/>
        </w:rPr>
        <w:t>按《全国水源性高碘地区监测方案》（2018版）</w:t>
      </w:r>
      <w:r>
        <w:rPr>
          <w:color w:val="000000"/>
          <w:sz w:val="24"/>
        </w:rPr>
        <w:t>组织开展了</w:t>
      </w:r>
      <w:r>
        <w:rPr>
          <w:rFonts w:hint="eastAsia"/>
          <w:color w:val="000000"/>
          <w:sz w:val="24"/>
        </w:rPr>
        <w:t>全国水源性高碘地区</w:t>
      </w:r>
      <w:r>
        <w:rPr>
          <w:color w:val="000000"/>
          <w:sz w:val="24"/>
        </w:rPr>
        <w:t>监测工作</w:t>
      </w:r>
      <w:r>
        <w:rPr>
          <w:rFonts w:hint="eastAsia"/>
          <w:color w:val="000000"/>
          <w:sz w:val="24"/>
        </w:rPr>
        <w:t>。由于2017年全国生活饮用水水碘调查在全国新发现了一些高碘村，部分省份重新划定了水源性高碘地区，2022年监测由原来的8个监测省（自治区、直辖市，以下简称省份）增加至11个监测省份。2022年</w:t>
      </w:r>
      <w:r>
        <w:rPr>
          <w:color w:val="000000"/>
          <w:sz w:val="24"/>
        </w:rPr>
        <w:t>在全国</w:t>
      </w:r>
      <w:r>
        <w:rPr>
          <w:rFonts w:hint="eastAsia"/>
          <w:color w:val="000000"/>
          <w:sz w:val="24"/>
        </w:rPr>
        <w:t>11个省份检测了1532个监测点水样；半定量检测了38709份儿童家中食用盐盐样，对38632</w:t>
      </w:r>
      <w:r>
        <w:rPr>
          <w:color w:val="000000"/>
          <w:sz w:val="24"/>
        </w:rPr>
        <w:t>名儿童</w:t>
      </w:r>
      <w:r>
        <w:rPr>
          <w:rFonts w:hint="eastAsia"/>
          <w:color w:val="000000"/>
          <w:sz w:val="24"/>
        </w:rPr>
        <w:t>进行了甲状腺B超检测，对38547</w:t>
      </w:r>
      <w:r>
        <w:rPr>
          <w:color w:val="000000"/>
          <w:sz w:val="24"/>
        </w:rPr>
        <w:t>名儿童</w:t>
      </w:r>
      <w:r>
        <w:rPr>
          <w:rFonts w:hint="eastAsia"/>
          <w:color w:val="000000"/>
          <w:sz w:val="24"/>
        </w:rPr>
        <w:t>进行了尿碘检测；</w:t>
      </w:r>
      <w:r>
        <w:rPr>
          <w:color w:val="000000"/>
          <w:sz w:val="24"/>
        </w:rPr>
        <w:t>在</w:t>
      </w:r>
      <w:r>
        <w:rPr>
          <w:rFonts w:hint="eastAsia"/>
          <w:color w:val="000000"/>
          <w:sz w:val="24"/>
        </w:rPr>
        <w:t>10</w:t>
      </w:r>
      <w:r>
        <w:rPr>
          <w:color w:val="000000"/>
          <w:sz w:val="24"/>
        </w:rPr>
        <w:t>个省</w:t>
      </w:r>
      <w:r>
        <w:rPr>
          <w:rFonts w:hint="eastAsia"/>
          <w:color w:val="000000"/>
          <w:sz w:val="24"/>
        </w:rPr>
        <w:t>份检测了7232名孕妇家中</w:t>
      </w:r>
      <w:r>
        <w:rPr>
          <w:color w:val="000000"/>
          <w:sz w:val="24"/>
        </w:rPr>
        <w:t>食用盐</w:t>
      </w:r>
      <w:r>
        <w:rPr>
          <w:rFonts w:hint="eastAsia"/>
          <w:color w:val="000000"/>
          <w:sz w:val="24"/>
        </w:rPr>
        <w:t>，对7225名孕妇进行了尿碘检测。</w:t>
      </w:r>
    </w:p>
    <w:p>
      <w:pPr>
        <w:spacing w:line="360" w:lineRule="auto"/>
        <w:ind w:firstLine="480" w:firstLineChars="200"/>
        <w:rPr>
          <w:color w:val="000000"/>
          <w:sz w:val="24"/>
        </w:rPr>
      </w:pPr>
      <w:r>
        <w:rPr>
          <w:rFonts w:hint="eastAsia"/>
          <w:color w:val="000000"/>
          <w:sz w:val="24"/>
        </w:rPr>
        <w:t>1. 水碘监测结果：水源性高碘地区11个省份1532个水样监测点总体水碘中位数为56.6</w:t>
      </w:r>
      <w:r>
        <w:rPr>
          <w:color w:val="000000"/>
          <w:sz w:val="24"/>
        </w:rPr>
        <w:t>μg/L</w:t>
      </w:r>
      <w:r>
        <w:rPr>
          <w:rFonts w:hint="eastAsia"/>
          <w:color w:val="000000"/>
          <w:sz w:val="24"/>
        </w:rPr>
        <w:t>，已改水地区水碘中位数为45.3</w:t>
      </w:r>
      <w:r>
        <w:rPr>
          <w:color w:val="000000"/>
          <w:sz w:val="24"/>
        </w:rPr>
        <w:t>μg/L</w:t>
      </w:r>
      <w:r>
        <w:rPr>
          <w:rFonts w:hint="eastAsia"/>
          <w:color w:val="000000"/>
          <w:sz w:val="24"/>
        </w:rPr>
        <w:t>，未改水地区水碘中位数为135.0</w:t>
      </w:r>
      <w:r>
        <w:rPr>
          <w:color w:val="000000"/>
          <w:sz w:val="24"/>
        </w:rPr>
        <w:t>μg/L</w:t>
      </w:r>
      <w:r>
        <w:rPr>
          <w:rFonts w:hint="eastAsia"/>
          <w:color w:val="000000"/>
          <w:sz w:val="24"/>
        </w:rPr>
        <w:t>。有594个监测点水碘中位数在100</w:t>
      </w:r>
      <w:r>
        <w:rPr>
          <w:color w:val="000000"/>
          <w:sz w:val="24"/>
        </w:rPr>
        <w:t>μg/L</w:t>
      </w:r>
      <w:r>
        <w:rPr>
          <w:rFonts w:hint="eastAsia"/>
          <w:color w:val="000000"/>
          <w:sz w:val="24"/>
        </w:rPr>
        <w:t>以上，占38.8%。其中，有535个监测点水碘中位数处于100.1~300</w:t>
      </w:r>
      <w:r>
        <w:rPr>
          <w:color w:val="000000"/>
          <w:sz w:val="24"/>
        </w:rPr>
        <w:t>μg/L</w:t>
      </w:r>
      <w:r>
        <w:rPr>
          <w:rFonts w:hint="eastAsia"/>
          <w:color w:val="000000"/>
          <w:sz w:val="24"/>
        </w:rPr>
        <w:t>之间，占34.9%；有59个监测点水碘中位数在300</w:t>
      </w:r>
      <w:r>
        <w:rPr>
          <w:color w:val="000000"/>
          <w:sz w:val="24"/>
        </w:rPr>
        <w:t>μg/L</w:t>
      </w:r>
      <w:r>
        <w:rPr>
          <w:rFonts w:hint="eastAsia"/>
          <w:color w:val="000000"/>
          <w:sz w:val="24"/>
        </w:rPr>
        <w:t>以上，占3.9%。</w:t>
      </w:r>
    </w:p>
    <w:p>
      <w:pPr>
        <w:spacing w:line="360" w:lineRule="auto"/>
        <w:ind w:firstLine="480" w:firstLineChars="200"/>
        <w:rPr>
          <w:color w:val="000000"/>
          <w:sz w:val="24"/>
        </w:rPr>
      </w:pPr>
      <w:r>
        <w:rPr>
          <w:rFonts w:hint="eastAsia"/>
          <w:color w:val="000000"/>
          <w:sz w:val="24"/>
        </w:rPr>
        <w:t>2. 未加碘食盐监测结果：(1) 水源性高碘地区儿童家中未加碘食盐率为61.9</w:t>
      </w:r>
      <w:r>
        <w:rPr>
          <w:color w:val="000000"/>
          <w:sz w:val="24"/>
        </w:rPr>
        <w:t>%</w:t>
      </w:r>
      <w:r>
        <w:rPr>
          <w:rFonts w:hint="eastAsia"/>
          <w:color w:val="000000"/>
          <w:sz w:val="24"/>
        </w:rPr>
        <w:t>，已改水地区未加碘食盐率为62.6</w:t>
      </w:r>
      <w:r>
        <w:rPr>
          <w:color w:val="000000"/>
          <w:sz w:val="24"/>
        </w:rPr>
        <w:t>%</w:t>
      </w:r>
      <w:r>
        <w:rPr>
          <w:rFonts w:hint="eastAsia"/>
          <w:color w:val="000000"/>
          <w:sz w:val="24"/>
        </w:rPr>
        <w:t>，未改水地区未加碘食盐率为43.3</w:t>
      </w:r>
      <w:r>
        <w:rPr>
          <w:color w:val="000000"/>
          <w:sz w:val="24"/>
        </w:rPr>
        <w:t>%</w:t>
      </w:r>
      <w:r>
        <w:rPr>
          <w:rFonts w:hint="eastAsia"/>
          <w:color w:val="000000"/>
          <w:sz w:val="24"/>
        </w:rPr>
        <w:t>。除江苏外，其他省份</w:t>
      </w:r>
      <w:r>
        <w:rPr>
          <w:color w:val="000000"/>
          <w:sz w:val="24"/>
        </w:rPr>
        <w:t>未加碘食盐率</w:t>
      </w:r>
      <w:r>
        <w:rPr>
          <w:rFonts w:hint="eastAsia"/>
          <w:color w:val="000000"/>
          <w:sz w:val="24"/>
        </w:rPr>
        <w:t>均</w:t>
      </w:r>
      <w:r>
        <w:rPr>
          <w:color w:val="000000"/>
          <w:sz w:val="24"/>
        </w:rPr>
        <w:t>在9</w:t>
      </w:r>
      <w:r>
        <w:rPr>
          <w:rFonts w:hint="eastAsia"/>
          <w:color w:val="000000"/>
          <w:sz w:val="24"/>
        </w:rPr>
        <w:t>0</w:t>
      </w:r>
      <w:r>
        <w:rPr>
          <w:color w:val="000000"/>
          <w:sz w:val="24"/>
        </w:rPr>
        <w:t>%以</w:t>
      </w:r>
      <w:r>
        <w:rPr>
          <w:rFonts w:hint="eastAsia"/>
          <w:color w:val="000000"/>
          <w:sz w:val="24"/>
        </w:rPr>
        <w:t>下。儿童家中未加碘食盐率低于90%的县占总监测县的59.0</w:t>
      </w:r>
      <w:r>
        <w:rPr>
          <w:color w:val="000000"/>
          <w:sz w:val="24"/>
        </w:rPr>
        <w:t>%</w:t>
      </w:r>
      <w:r>
        <w:rPr>
          <w:rFonts w:hint="eastAsia"/>
          <w:color w:val="000000"/>
          <w:sz w:val="24"/>
        </w:rPr>
        <w:t>（115/195）。(2) 孕妇家中未加碘食盐率为63.8</w:t>
      </w:r>
      <w:r>
        <w:rPr>
          <w:color w:val="000000"/>
          <w:sz w:val="24"/>
        </w:rPr>
        <w:t>%</w:t>
      </w:r>
      <w:r>
        <w:rPr>
          <w:rFonts w:hint="eastAsia"/>
          <w:color w:val="000000"/>
          <w:sz w:val="24"/>
        </w:rPr>
        <w:t>。除江苏外，其他省份均在90%以下。孕妇家中未加碘食盐率在90%以下的县（市、区、旗，以下简称县）占总监测县54.1%（100/185）。（3）原高碘地区儿童家中未加碘食盐率为86.0%，新发现高碘地区儿童家中未加碘食盐率为37.1%。</w:t>
      </w:r>
    </w:p>
    <w:p>
      <w:pPr>
        <w:spacing w:line="360" w:lineRule="auto"/>
        <w:ind w:firstLine="480" w:firstLineChars="200"/>
        <w:rPr>
          <w:color w:val="000000"/>
          <w:sz w:val="24"/>
        </w:rPr>
      </w:pPr>
      <w:r>
        <w:rPr>
          <w:rFonts w:hint="eastAsia"/>
          <w:color w:val="000000"/>
          <w:sz w:val="24"/>
        </w:rPr>
        <w:t>3. 尿碘监测结果：(1) 水源性高碘地区儿童</w:t>
      </w:r>
      <w:r>
        <w:rPr>
          <w:color w:val="000000"/>
          <w:sz w:val="24"/>
        </w:rPr>
        <w:t>尿碘中位数为</w:t>
      </w:r>
      <w:r>
        <w:rPr>
          <w:rFonts w:hint="eastAsia"/>
          <w:color w:val="000000"/>
          <w:sz w:val="24"/>
        </w:rPr>
        <w:t>278.4</w:t>
      </w:r>
      <w:r>
        <w:rPr>
          <w:color w:val="000000"/>
          <w:sz w:val="24"/>
        </w:rPr>
        <w:t>μg/L</w:t>
      </w:r>
      <w:r>
        <w:rPr>
          <w:rFonts w:hint="eastAsia"/>
          <w:color w:val="000000"/>
          <w:sz w:val="24"/>
        </w:rPr>
        <w:t>，已改水地区尿碘中位数为276.0</w:t>
      </w:r>
      <w:r>
        <w:rPr>
          <w:color w:val="000000"/>
          <w:sz w:val="24"/>
        </w:rPr>
        <w:t>μg/L</w:t>
      </w:r>
      <w:r>
        <w:rPr>
          <w:rFonts w:hint="eastAsia"/>
          <w:color w:val="000000"/>
          <w:sz w:val="24"/>
        </w:rPr>
        <w:t>，未改水地区尿碘中位数为299.3</w:t>
      </w:r>
      <w:r>
        <w:rPr>
          <w:color w:val="000000"/>
          <w:sz w:val="24"/>
        </w:rPr>
        <w:t>μg/L</w:t>
      </w:r>
      <w:r>
        <w:rPr>
          <w:rFonts w:hint="eastAsia"/>
          <w:color w:val="000000"/>
          <w:sz w:val="24"/>
        </w:rPr>
        <w:t>。</w:t>
      </w:r>
      <w:r>
        <w:rPr>
          <w:color w:val="000000"/>
          <w:sz w:val="24"/>
        </w:rPr>
        <w:t>在</w:t>
      </w:r>
      <w:r>
        <w:rPr>
          <w:rFonts w:hint="eastAsia"/>
          <w:color w:val="000000"/>
          <w:sz w:val="24"/>
        </w:rPr>
        <w:t>11</w:t>
      </w:r>
      <w:r>
        <w:rPr>
          <w:color w:val="000000"/>
          <w:sz w:val="24"/>
        </w:rPr>
        <w:t>个</w:t>
      </w:r>
      <w:r>
        <w:rPr>
          <w:rFonts w:hint="eastAsia"/>
          <w:color w:val="000000"/>
          <w:sz w:val="24"/>
        </w:rPr>
        <w:t>水源性高碘地区</w:t>
      </w:r>
      <w:r>
        <w:rPr>
          <w:color w:val="000000"/>
          <w:sz w:val="24"/>
        </w:rPr>
        <w:t>省份中，</w:t>
      </w:r>
      <w:r>
        <w:rPr>
          <w:rFonts w:hint="eastAsia"/>
          <w:color w:val="000000"/>
          <w:sz w:val="24"/>
        </w:rPr>
        <w:t>山西、江苏、安徽和河南4个省份</w:t>
      </w:r>
      <w:r>
        <w:rPr>
          <w:color w:val="000000"/>
          <w:sz w:val="24"/>
        </w:rPr>
        <w:t>儿童尿碘中位数均超过300μg/L，处于碘过量水平</w:t>
      </w:r>
      <w:r>
        <w:rPr>
          <w:rFonts w:hint="eastAsia"/>
          <w:color w:val="000000"/>
          <w:sz w:val="24"/>
        </w:rPr>
        <w:t>；河北、内蒙古、江西、山东和陕西5个省份儿童尿碘中位数在200~300</w:t>
      </w:r>
      <w:r>
        <w:rPr>
          <w:color w:val="000000"/>
          <w:sz w:val="24"/>
        </w:rPr>
        <w:t>μg/L</w:t>
      </w:r>
      <w:r>
        <w:rPr>
          <w:rFonts w:hint="eastAsia"/>
          <w:color w:val="000000"/>
          <w:sz w:val="24"/>
        </w:rPr>
        <w:t>之间；天津和湖南儿童尿碘中位数在100~200</w:t>
      </w:r>
      <w:r>
        <w:rPr>
          <w:color w:val="000000"/>
          <w:sz w:val="24"/>
        </w:rPr>
        <w:t>μg/L</w:t>
      </w:r>
      <w:r>
        <w:rPr>
          <w:rFonts w:hint="eastAsia"/>
          <w:color w:val="000000"/>
          <w:sz w:val="24"/>
        </w:rPr>
        <w:t>之间。47.7</w:t>
      </w:r>
      <w:r>
        <w:rPr>
          <w:color w:val="000000"/>
          <w:sz w:val="24"/>
        </w:rPr>
        <w:t>%</w:t>
      </w:r>
      <w:r>
        <w:rPr>
          <w:rFonts w:hint="eastAsia"/>
          <w:color w:val="000000"/>
          <w:sz w:val="24"/>
        </w:rPr>
        <w:t>（93/195）监测县儿童</w:t>
      </w:r>
      <w:r>
        <w:rPr>
          <w:color w:val="000000"/>
          <w:sz w:val="24"/>
        </w:rPr>
        <w:t>尿碘中位数</w:t>
      </w:r>
      <w:r>
        <w:rPr>
          <w:rFonts w:hint="eastAsia"/>
          <w:color w:val="000000"/>
          <w:sz w:val="24"/>
        </w:rPr>
        <w:t>超过</w:t>
      </w:r>
      <w:r>
        <w:rPr>
          <w:color w:val="000000"/>
          <w:sz w:val="24"/>
        </w:rPr>
        <w:t>300μg/L</w:t>
      </w:r>
      <w:r>
        <w:rPr>
          <w:rFonts w:hint="eastAsia"/>
          <w:color w:val="000000"/>
          <w:sz w:val="24"/>
        </w:rPr>
        <w:t>，</w:t>
      </w:r>
      <w:r>
        <w:rPr>
          <w:color w:val="000000"/>
          <w:sz w:val="24"/>
        </w:rPr>
        <w:t>处于碘过量水平</w:t>
      </w:r>
      <w:r>
        <w:rPr>
          <w:rFonts w:hint="eastAsia"/>
          <w:color w:val="000000"/>
          <w:sz w:val="24"/>
        </w:rPr>
        <w:t>。(2) 水源性高碘地区孕妇</w:t>
      </w:r>
      <w:r>
        <w:rPr>
          <w:color w:val="000000"/>
          <w:sz w:val="24"/>
        </w:rPr>
        <w:t>尿碘中位数为</w:t>
      </w:r>
      <w:r>
        <w:rPr>
          <w:rFonts w:hint="eastAsia"/>
          <w:color w:val="000000"/>
          <w:sz w:val="24"/>
        </w:rPr>
        <w:t>209.6</w:t>
      </w:r>
      <w:r>
        <w:rPr>
          <w:color w:val="000000"/>
          <w:sz w:val="24"/>
        </w:rPr>
        <w:t>μg/L</w:t>
      </w:r>
      <w:r>
        <w:rPr>
          <w:rFonts w:hint="eastAsia"/>
          <w:color w:val="000000"/>
          <w:sz w:val="24"/>
        </w:rPr>
        <w:t>。10</w:t>
      </w:r>
      <w:r>
        <w:rPr>
          <w:color w:val="000000"/>
          <w:sz w:val="24"/>
        </w:rPr>
        <w:t>个省份中，</w:t>
      </w:r>
      <w:r>
        <w:rPr>
          <w:rFonts w:hint="eastAsia"/>
          <w:color w:val="000000"/>
          <w:sz w:val="24"/>
        </w:rPr>
        <w:t>山西、内蒙古、江苏、安徽和河南5个省份孕妇</w:t>
      </w:r>
      <w:r>
        <w:rPr>
          <w:color w:val="000000"/>
          <w:sz w:val="24"/>
        </w:rPr>
        <w:t>尿碘中位数均超过</w:t>
      </w:r>
      <w:r>
        <w:rPr>
          <w:rFonts w:hint="eastAsia"/>
          <w:color w:val="000000"/>
          <w:sz w:val="24"/>
        </w:rPr>
        <w:t>250</w:t>
      </w:r>
      <w:r>
        <w:rPr>
          <w:color w:val="000000"/>
          <w:sz w:val="24"/>
        </w:rPr>
        <w:t>μg/L，处于大于适宜量水平</w:t>
      </w:r>
      <w:r>
        <w:rPr>
          <w:rFonts w:hint="eastAsia"/>
          <w:color w:val="000000"/>
          <w:sz w:val="24"/>
        </w:rPr>
        <w:t>；天津、河北、山东、湖南和陕西5个省份孕妇尿碘中位数在150~250</w:t>
      </w:r>
      <w:r>
        <w:rPr>
          <w:color w:val="000000"/>
          <w:sz w:val="24"/>
        </w:rPr>
        <w:t>μg/L</w:t>
      </w:r>
      <w:r>
        <w:rPr>
          <w:rFonts w:hint="eastAsia"/>
          <w:color w:val="000000"/>
          <w:sz w:val="24"/>
        </w:rPr>
        <w:t>之间</w:t>
      </w:r>
      <w:r>
        <w:rPr>
          <w:color w:val="000000"/>
          <w:sz w:val="24"/>
        </w:rPr>
        <w:t>，</w:t>
      </w:r>
      <w:r>
        <w:rPr>
          <w:rFonts w:hint="eastAsia"/>
          <w:color w:val="000000"/>
          <w:sz w:val="24"/>
        </w:rPr>
        <w:t>处于</w:t>
      </w:r>
      <w:r>
        <w:rPr>
          <w:color w:val="000000"/>
          <w:sz w:val="24"/>
        </w:rPr>
        <w:t>适宜水平</w:t>
      </w:r>
      <w:r>
        <w:rPr>
          <w:rFonts w:hint="eastAsia"/>
          <w:color w:val="000000"/>
          <w:sz w:val="24"/>
        </w:rPr>
        <w:t>。2.2</w:t>
      </w:r>
      <w:r>
        <w:rPr>
          <w:color w:val="000000"/>
          <w:sz w:val="24"/>
        </w:rPr>
        <w:t>%</w:t>
      </w:r>
      <w:r>
        <w:rPr>
          <w:rFonts w:hint="eastAsia"/>
          <w:color w:val="000000"/>
          <w:sz w:val="24"/>
        </w:rPr>
        <w:t>（4/185）的县孕妇</w:t>
      </w:r>
      <w:r>
        <w:rPr>
          <w:color w:val="000000"/>
          <w:sz w:val="24"/>
        </w:rPr>
        <w:t>尿碘中位数</w:t>
      </w:r>
      <w:r>
        <w:rPr>
          <w:rFonts w:hint="eastAsia"/>
          <w:color w:val="000000"/>
          <w:sz w:val="24"/>
        </w:rPr>
        <w:t>超过5</w:t>
      </w:r>
      <w:r>
        <w:rPr>
          <w:color w:val="000000"/>
          <w:sz w:val="24"/>
        </w:rPr>
        <w:t>00μg/L</w:t>
      </w:r>
      <w:r>
        <w:rPr>
          <w:rFonts w:hint="eastAsia"/>
          <w:color w:val="000000"/>
          <w:sz w:val="24"/>
        </w:rPr>
        <w:t>，</w:t>
      </w:r>
      <w:r>
        <w:rPr>
          <w:color w:val="000000"/>
          <w:sz w:val="24"/>
        </w:rPr>
        <w:t>处于碘过量水平</w:t>
      </w:r>
      <w:r>
        <w:rPr>
          <w:rFonts w:hint="eastAsia"/>
          <w:color w:val="000000"/>
          <w:sz w:val="24"/>
        </w:rPr>
        <w:t>。</w:t>
      </w:r>
    </w:p>
    <w:p>
      <w:pPr>
        <w:spacing w:line="360" w:lineRule="auto"/>
        <w:ind w:firstLine="480" w:firstLineChars="200"/>
        <w:rPr>
          <w:color w:val="000000"/>
          <w:sz w:val="24"/>
        </w:rPr>
      </w:pPr>
      <w:r>
        <w:rPr>
          <w:rFonts w:hint="eastAsia"/>
          <w:color w:val="000000"/>
          <w:sz w:val="24"/>
        </w:rPr>
        <w:t>4. 甲状腺肿大率监测结果：水源性高碘地区总体儿童甲状腺肿大率（以下简称甲肿率）为2.7</w:t>
      </w:r>
      <w:r>
        <w:rPr>
          <w:color w:val="000000"/>
          <w:sz w:val="24"/>
        </w:rPr>
        <w:t>%</w:t>
      </w:r>
      <w:r>
        <w:rPr>
          <w:rFonts w:hint="eastAsia"/>
          <w:color w:val="000000"/>
          <w:sz w:val="24"/>
        </w:rPr>
        <w:t>，已改水地区儿童甲肿率为2.4%，未改水地区儿童甲肿率为5.2%。山西儿童甲肿率为6.8%，其他各省份儿童</w:t>
      </w:r>
      <w:r>
        <w:rPr>
          <w:color w:val="000000"/>
          <w:sz w:val="24"/>
        </w:rPr>
        <w:t>甲肿率</w:t>
      </w:r>
      <w:r>
        <w:rPr>
          <w:rFonts w:hint="eastAsia"/>
          <w:color w:val="000000"/>
          <w:sz w:val="24"/>
        </w:rPr>
        <w:t>均在5.0%以下。14.4</w:t>
      </w:r>
      <w:r>
        <w:rPr>
          <w:color w:val="000000"/>
          <w:sz w:val="24"/>
        </w:rPr>
        <w:t>%</w:t>
      </w:r>
      <w:r>
        <w:rPr>
          <w:rFonts w:hint="eastAsia"/>
          <w:color w:val="000000"/>
          <w:sz w:val="24"/>
        </w:rPr>
        <w:t>（28/195）的县儿童甲肿率大于5%。</w:t>
      </w:r>
    </w:p>
    <w:p>
      <w:pPr>
        <w:spacing w:line="440" w:lineRule="exact"/>
        <w:ind w:firstLine="480" w:firstLineChars="200"/>
        <w:rPr>
          <w:color w:val="000000"/>
          <w:sz w:val="24"/>
        </w:rPr>
      </w:pPr>
      <w:r>
        <w:rPr>
          <w:rFonts w:hint="eastAsia"/>
          <w:color w:val="000000"/>
          <w:sz w:val="24"/>
        </w:rPr>
        <w:t>5. 结论：（1）目前水源性高碘地区以行政村为单位供应未加碘食盐措施尚未得到全面落实，特别是新发现的高碘地区；（2）总体儿童甲肿率低于5%，但个别地区儿童甲肿率较高，特别是未改水地区；（3）部分地区水碘、儿童尿碘中位数仍然较高。</w:t>
      </w:r>
    </w:p>
    <w:p>
      <w:pPr>
        <w:spacing w:line="440" w:lineRule="exact"/>
        <w:ind w:firstLine="480" w:firstLineChars="200"/>
        <w:rPr>
          <w:color w:val="000000"/>
          <w:sz w:val="24"/>
        </w:rPr>
      </w:pPr>
      <w:r>
        <w:rPr>
          <w:rFonts w:hint="eastAsia"/>
          <w:color w:val="000000"/>
          <w:sz w:val="24"/>
        </w:rPr>
        <w:t>6. 今后工作重点：（1）坚持在水源性高碘地区以村为单位供应未加碘食盐，提高未加碘食盐率；（2）寻找低碘水源，推动改水工程；（3）加强监测和健康教育；（4）针对不同水碘地区采取不同的防治措施，真正落实因地制宜、分类指导和差异化干预、科学与精准补碘的防治策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wN2RlOTQ0N2U5ZDcyN2Q4NDAxMmIzZmM1NDY4YzcifQ=="/>
    <w:docVar w:name="KY_MEDREF_DOCUID" w:val="{B9576C2F-D298-4F9B-BC04-C39DA491D172}"/>
    <w:docVar w:name="KY_MEDREF_VERSION" w:val="3"/>
  </w:docVars>
  <w:rsids>
    <w:rsidRoot w:val="006945A4"/>
    <w:rsid w:val="000333DE"/>
    <w:rsid w:val="00091692"/>
    <w:rsid w:val="000A2019"/>
    <w:rsid w:val="001B4C52"/>
    <w:rsid w:val="003F5E06"/>
    <w:rsid w:val="004E46ED"/>
    <w:rsid w:val="0053018E"/>
    <w:rsid w:val="00582640"/>
    <w:rsid w:val="00654E01"/>
    <w:rsid w:val="006945A4"/>
    <w:rsid w:val="006F729D"/>
    <w:rsid w:val="008B5294"/>
    <w:rsid w:val="008D0433"/>
    <w:rsid w:val="0090455D"/>
    <w:rsid w:val="009C2799"/>
    <w:rsid w:val="009E19E3"/>
    <w:rsid w:val="009F127A"/>
    <w:rsid w:val="00AD7A26"/>
    <w:rsid w:val="00D81184"/>
    <w:rsid w:val="00DF0535"/>
    <w:rsid w:val="00EC7DFA"/>
    <w:rsid w:val="00F0711E"/>
    <w:rsid w:val="00F62D59"/>
    <w:rsid w:val="00FA771D"/>
    <w:rsid w:val="010E0767"/>
    <w:rsid w:val="01102868"/>
    <w:rsid w:val="01134EF7"/>
    <w:rsid w:val="01347E3B"/>
    <w:rsid w:val="013D4F83"/>
    <w:rsid w:val="0141754E"/>
    <w:rsid w:val="015A6524"/>
    <w:rsid w:val="016E1B41"/>
    <w:rsid w:val="01732E11"/>
    <w:rsid w:val="0179387B"/>
    <w:rsid w:val="019178C5"/>
    <w:rsid w:val="0199163B"/>
    <w:rsid w:val="019A7C3D"/>
    <w:rsid w:val="019F22D5"/>
    <w:rsid w:val="01AA1662"/>
    <w:rsid w:val="01AA5D7A"/>
    <w:rsid w:val="01AD0DF6"/>
    <w:rsid w:val="01AF4CC3"/>
    <w:rsid w:val="01B31BF7"/>
    <w:rsid w:val="01B81024"/>
    <w:rsid w:val="01C35761"/>
    <w:rsid w:val="01C36FCE"/>
    <w:rsid w:val="01C57AF1"/>
    <w:rsid w:val="020A25E2"/>
    <w:rsid w:val="023244DD"/>
    <w:rsid w:val="0233306E"/>
    <w:rsid w:val="02507F10"/>
    <w:rsid w:val="02584192"/>
    <w:rsid w:val="02614237"/>
    <w:rsid w:val="026E78AC"/>
    <w:rsid w:val="02775F48"/>
    <w:rsid w:val="027801E2"/>
    <w:rsid w:val="02867DB1"/>
    <w:rsid w:val="028A75E1"/>
    <w:rsid w:val="028B3EE7"/>
    <w:rsid w:val="02954E66"/>
    <w:rsid w:val="02AB530C"/>
    <w:rsid w:val="02AC049D"/>
    <w:rsid w:val="02AE439B"/>
    <w:rsid w:val="02B76BBD"/>
    <w:rsid w:val="02BF476F"/>
    <w:rsid w:val="02C93837"/>
    <w:rsid w:val="02D540EE"/>
    <w:rsid w:val="02DB7306"/>
    <w:rsid w:val="02F16ADF"/>
    <w:rsid w:val="02FF790F"/>
    <w:rsid w:val="031D6BDD"/>
    <w:rsid w:val="031E0716"/>
    <w:rsid w:val="03291742"/>
    <w:rsid w:val="03321E82"/>
    <w:rsid w:val="033769BA"/>
    <w:rsid w:val="0354636A"/>
    <w:rsid w:val="03786B3A"/>
    <w:rsid w:val="039E108C"/>
    <w:rsid w:val="03A8673E"/>
    <w:rsid w:val="03AD0F16"/>
    <w:rsid w:val="03B14D9E"/>
    <w:rsid w:val="03CB6CB2"/>
    <w:rsid w:val="03D54C0A"/>
    <w:rsid w:val="03E83504"/>
    <w:rsid w:val="04023671"/>
    <w:rsid w:val="041169CB"/>
    <w:rsid w:val="04137E36"/>
    <w:rsid w:val="041C08E9"/>
    <w:rsid w:val="041F211B"/>
    <w:rsid w:val="0423650B"/>
    <w:rsid w:val="043569EF"/>
    <w:rsid w:val="0439424A"/>
    <w:rsid w:val="044755BC"/>
    <w:rsid w:val="0448353E"/>
    <w:rsid w:val="04720B97"/>
    <w:rsid w:val="047473F2"/>
    <w:rsid w:val="048151A5"/>
    <w:rsid w:val="048D377B"/>
    <w:rsid w:val="049C5C59"/>
    <w:rsid w:val="04AC6014"/>
    <w:rsid w:val="04AD5C8F"/>
    <w:rsid w:val="04B83391"/>
    <w:rsid w:val="04B94338"/>
    <w:rsid w:val="04BE5A87"/>
    <w:rsid w:val="04E754CF"/>
    <w:rsid w:val="04E77F78"/>
    <w:rsid w:val="04FF1D2F"/>
    <w:rsid w:val="05047F9A"/>
    <w:rsid w:val="053B62FA"/>
    <w:rsid w:val="05435ACE"/>
    <w:rsid w:val="054752C4"/>
    <w:rsid w:val="0574083E"/>
    <w:rsid w:val="0578138D"/>
    <w:rsid w:val="059B048E"/>
    <w:rsid w:val="05A13035"/>
    <w:rsid w:val="05A90BBC"/>
    <w:rsid w:val="05AF6369"/>
    <w:rsid w:val="05C1635B"/>
    <w:rsid w:val="05CA52CA"/>
    <w:rsid w:val="05CC488E"/>
    <w:rsid w:val="05CC4D04"/>
    <w:rsid w:val="05EA32F1"/>
    <w:rsid w:val="06047EB8"/>
    <w:rsid w:val="061723A7"/>
    <w:rsid w:val="06196143"/>
    <w:rsid w:val="061B6A01"/>
    <w:rsid w:val="061B6BF6"/>
    <w:rsid w:val="06385867"/>
    <w:rsid w:val="064D6DCD"/>
    <w:rsid w:val="065234E1"/>
    <w:rsid w:val="067A19FA"/>
    <w:rsid w:val="068415F0"/>
    <w:rsid w:val="069448CB"/>
    <w:rsid w:val="069F5E97"/>
    <w:rsid w:val="06DD56CD"/>
    <w:rsid w:val="06E37F60"/>
    <w:rsid w:val="06E84E01"/>
    <w:rsid w:val="06EA3A48"/>
    <w:rsid w:val="07030970"/>
    <w:rsid w:val="07104455"/>
    <w:rsid w:val="071428C8"/>
    <w:rsid w:val="0726387F"/>
    <w:rsid w:val="073C1B4E"/>
    <w:rsid w:val="074B738B"/>
    <w:rsid w:val="074D0D70"/>
    <w:rsid w:val="074D10FF"/>
    <w:rsid w:val="0759793D"/>
    <w:rsid w:val="076E190A"/>
    <w:rsid w:val="076E6CFE"/>
    <w:rsid w:val="07715FAD"/>
    <w:rsid w:val="077416A8"/>
    <w:rsid w:val="07745277"/>
    <w:rsid w:val="07775A6D"/>
    <w:rsid w:val="07882758"/>
    <w:rsid w:val="078E22B2"/>
    <w:rsid w:val="07A85933"/>
    <w:rsid w:val="07BE1AF5"/>
    <w:rsid w:val="07D359A5"/>
    <w:rsid w:val="07F72F32"/>
    <w:rsid w:val="08025F7B"/>
    <w:rsid w:val="08070C6E"/>
    <w:rsid w:val="080F42B2"/>
    <w:rsid w:val="08177F54"/>
    <w:rsid w:val="081D1D14"/>
    <w:rsid w:val="081F3C5A"/>
    <w:rsid w:val="08221E10"/>
    <w:rsid w:val="08281965"/>
    <w:rsid w:val="083160D0"/>
    <w:rsid w:val="08331D50"/>
    <w:rsid w:val="083C2CC1"/>
    <w:rsid w:val="084D78A9"/>
    <w:rsid w:val="08533F5A"/>
    <w:rsid w:val="0872037D"/>
    <w:rsid w:val="08731311"/>
    <w:rsid w:val="08794DEC"/>
    <w:rsid w:val="08794F0F"/>
    <w:rsid w:val="08C340B5"/>
    <w:rsid w:val="08CE0E69"/>
    <w:rsid w:val="08D11D83"/>
    <w:rsid w:val="08D35AF9"/>
    <w:rsid w:val="08F808FA"/>
    <w:rsid w:val="09094570"/>
    <w:rsid w:val="09170D66"/>
    <w:rsid w:val="09312778"/>
    <w:rsid w:val="09475D93"/>
    <w:rsid w:val="095E2CBF"/>
    <w:rsid w:val="096168B7"/>
    <w:rsid w:val="09621A73"/>
    <w:rsid w:val="09637343"/>
    <w:rsid w:val="096E1F6D"/>
    <w:rsid w:val="09793AB2"/>
    <w:rsid w:val="09A46EB3"/>
    <w:rsid w:val="09AC37B9"/>
    <w:rsid w:val="09C85530"/>
    <w:rsid w:val="09C953BF"/>
    <w:rsid w:val="09CA27ED"/>
    <w:rsid w:val="09CD6A14"/>
    <w:rsid w:val="09D43441"/>
    <w:rsid w:val="09E023A7"/>
    <w:rsid w:val="09E5657D"/>
    <w:rsid w:val="09EB36EC"/>
    <w:rsid w:val="09EF5D41"/>
    <w:rsid w:val="09FD2C7C"/>
    <w:rsid w:val="09FE0EE3"/>
    <w:rsid w:val="09FE660A"/>
    <w:rsid w:val="0A1A2CC2"/>
    <w:rsid w:val="0A2D1D81"/>
    <w:rsid w:val="0A3C3592"/>
    <w:rsid w:val="0A462D04"/>
    <w:rsid w:val="0A697778"/>
    <w:rsid w:val="0A794D13"/>
    <w:rsid w:val="0A797FB6"/>
    <w:rsid w:val="0A9953F4"/>
    <w:rsid w:val="0A9E10C8"/>
    <w:rsid w:val="0AA42725"/>
    <w:rsid w:val="0AA5187F"/>
    <w:rsid w:val="0AAD30D0"/>
    <w:rsid w:val="0AB25943"/>
    <w:rsid w:val="0ACC158B"/>
    <w:rsid w:val="0AD30720"/>
    <w:rsid w:val="0ADC2749"/>
    <w:rsid w:val="0AF22BF6"/>
    <w:rsid w:val="0AF73C9A"/>
    <w:rsid w:val="0AF82CA4"/>
    <w:rsid w:val="0AFB3037"/>
    <w:rsid w:val="0AFC47BE"/>
    <w:rsid w:val="0AFF05A2"/>
    <w:rsid w:val="0B04022C"/>
    <w:rsid w:val="0B0E28A3"/>
    <w:rsid w:val="0B110A10"/>
    <w:rsid w:val="0B110B63"/>
    <w:rsid w:val="0B15334F"/>
    <w:rsid w:val="0B2A0C42"/>
    <w:rsid w:val="0B30031C"/>
    <w:rsid w:val="0B3A482C"/>
    <w:rsid w:val="0B5B1B30"/>
    <w:rsid w:val="0B653E53"/>
    <w:rsid w:val="0B6669D3"/>
    <w:rsid w:val="0B6F4C3B"/>
    <w:rsid w:val="0B7363FC"/>
    <w:rsid w:val="0B7E5443"/>
    <w:rsid w:val="0B8A6AD3"/>
    <w:rsid w:val="0B913C51"/>
    <w:rsid w:val="0B963985"/>
    <w:rsid w:val="0B974914"/>
    <w:rsid w:val="0BB03ABB"/>
    <w:rsid w:val="0BCB7491"/>
    <w:rsid w:val="0BD11FB1"/>
    <w:rsid w:val="0BEB4BA7"/>
    <w:rsid w:val="0BF0342A"/>
    <w:rsid w:val="0BFF155C"/>
    <w:rsid w:val="0C0A70F2"/>
    <w:rsid w:val="0C23575A"/>
    <w:rsid w:val="0C4213D6"/>
    <w:rsid w:val="0C5C11FE"/>
    <w:rsid w:val="0C5C2302"/>
    <w:rsid w:val="0C63697F"/>
    <w:rsid w:val="0C784999"/>
    <w:rsid w:val="0C905D1C"/>
    <w:rsid w:val="0C932472"/>
    <w:rsid w:val="0CA04DFD"/>
    <w:rsid w:val="0CA41008"/>
    <w:rsid w:val="0CA50642"/>
    <w:rsid w:val="0CA56C17"/>
    <w:rsid w:val="0CB36777"/>
    <w:rsid w:val="0CCA14CC"/>
    <w:rsid w:val="0CCB7074"/>
    <w:rsid w:val="0CE345B8"/>
    <w:rsid w:val="0CE416B1"/>
    <w:rsid w:val="0D0079C8"/>
    <w:rsid w:val="0D0F351E"/>
    <w:rsid w:val="0D1B0699"/>
    <w:rsid w:val="0D28321A"/>
    <w:rsid w:val="0D403846"/>
    <w:rsid w:val="0D5D74C9"/>
    <w:rsid w:val="0D61458D"/>
    <w:rsid w:val="0D695DBE"/>
    <w:rsid w:val="0D6E5F92"/>
    <w:rsid w:val="0D797326"/>
    <w:rsid w:val="0D7B1B08"/>
    <w:rsid w:val="0D875D4F"/>
    <w:rsid w:val="0D8976C9"/>
    <w:rsid w:val="0D8D5970"/>
    <w:rsid w:val="0D9A6F86"/>
    <w:rsid w:val="0DA6397E"/>
    <w:rsid w:val="0DAD48CE"/>
    <w:rsid w:val="0DB468D9"/>
    <w:rsid w:val="0DBB76F0"/>
    <w:rsid w:val="0DDD696D"/>
    <w:rsid w:val="0DDE1734"/>
    <w:rsid w:val="0DEA3C82"/>
    <w:rsid w:val="0DEB5F0F"/>
    <w:rsid w:val="0DF26060"/>
    <w:rsid w:val="0DF83AED"/>
    <w:rsid w:val="0E027936"/>
    <w:rsid w:val="0E1A32F2"/>
    <w:rsid w:val="0E2C41D7"/>
    <w:rsid w:val="0E526153"/>
    <w:rsid w:val="0E540EC4"/>
    <w:rsid w:val="0E555D9D"/>
    <w:rsid w:val="0E580B6A"/>
    <w:rsid w:val="0E786EA9"/>
    <w:rsid w:val="0E7B3279"/>
    <w:rsid w:val="0E822A52"/>
    <w:rsid w:val="0E8A477C"/>
    <w:rsid w:val="0E9F6695"/>
    <w:rsid w:val="0EB61194"/>
    <w:rsid w:val="0ECC48EF"/>
    <w:rsid w:val="0EFC76BA"/>
    <w:rsid w:val="0F036123"/>
    <w:rsid w:val="0F0878C2"/>
    <w:rsid w:val="0F0B57E3"/>
    <w:rsid w:val="0F1E7C8D"/>
    <w:rsid w:val="0F352B08"/>
    <w:rsid w:val="0F3F292E"/>
    <w:rsid w:val="0F42619E"/>
    <w:rsid w:val="0F616980"/>
    <w:rsid w:val="0F6B74C2"/>
    <w:rsid w:val="0F7066E0"/>
    <w:rsid w:val="0F795B46"/>
    <w:rsid w:val="0F7C5B06"/>
    <w:rsid w:val="0F903794"/>
    <w:rsid w:val="0F921CC2"/>
    <w:rsid w:val="0FA47B84"/>
    <w:rsid w:val="0FA80D24"/>
    <w:rsid w:val="0FAA3BF0"/>
    <w:rsid w:val="0FC274C0"/>
    <w:rsid w:val="0FD94F66"/>
    <w:rsid w:val="0FE90A8A"/>
    <w:rsid w:val="0FFA36BA"/>
    <w:rsid w:val="100C436D"/>
    <w:rsid w:val="100F4DA7"/>
    <w:rsid w:val="100F7C6E"/>
    <w:rsid w:val="10195127"/>
    <w:rsid w:val="101F312C"/>
    <w:rsid w:val="10230246"/>
    <w:rsid w:val="1023791B"/>
    <w:rsid w:val="102F4EC8"/>
    <w:rsid w:val="10347E3D"/>
    <w:rsid w:val="103F75D6"/>
    <w:rsid w:val="10440BF0"/>
    <w:rsid w:val="107968FF"/>
    <w:rsid w:val="10A23AA7"/>
    <w:rsid w:val="10A56D9B"/>
    <w:rsid w:val="10A75DCD"/>
    <w:rsid w:val="10C04EB4"/>
    <w:rsid w:val="10C3572A"/>
    <w:rsid w:val="10CB11BA"/>
    <w:rsid w:val="10D106C7"/>
    <w:rsid w:val="10D17BC5"/>
    <w:rsid w:val="10D4367C"/>
    <w:rsid w:val="10DD705C"/>
    <w:rsid w:val="11020B6C"/>
    <w:rsid w:val="110511A7"/>
    <w:rsid w:val="110B4E53"/>
    <w:rsid w:val="110D5EF1"/>
    <w:rsid w:val="11131C88"/>
    <w:rsid w:val="113272F8"/>
    <w:rsid w:val="113677E7"/>
    <w:rsid w:val="11372863"/>
    <w:rsid w:val="11425BA0"/>
    <w:rsid w:val="11785B1A"/>
    <w:rsid w:val="117C71E6"/>
    <w:rsid w:val="11BC41DA"/>
    <w:rsid w:val="11CD09FE"/>
    <w:rsid w:val="11ED27DE"/>
    <w:rsid w:val="11F84C95"/>
    <w:rsid w:val="11F85F72"/>
    <w:rsid w:val="1201661B"/>
    <w:rsid w:val="1205539C"/>
    <w:rsid w:val="12065355"/>
    <w:rsid w:val="120E0CF6"/>
    <w:rsid w:val="121B3FE5"/>
    <w:rsid w:val="121D54D2"/>
    <w:rsid w:val="122406E0"/>
    <w:rsid w:val="123D3C6A"/>
    <w:rsid w:val="124322B2"/>
    <w:rsid w:val="1249540E"/>
    <w:rsid w:val="124D6FD8"/>
    <w:rsid w:val="1269191E"/>
    <w:rsid w:val="127F19E1"/>
    <w:rsid w:val="12891BCB"/>
    <w:rsid w:val="128C7933"/>
    <w:rsid w:val="12915762"/>
    <w:rsid w:val="129E7416"/>
    <w:rsid w:val="12A12D22"/>
    <w:rsid w:val="12C33C28"/>
    <w:rsid w:val="12E70C36"/>
    <w:rsid w:val="12F401E5"/>
    <w:rsid w:val="12FA46B1"/>
    <w:rsid w:val="13020A04"/>
    <w:rsid w:val="130C012E"/>
    <w:rsid w:val="1314177F"/>
    <w:rsid w:val="13171403"/>
    <w:rsid w:val="1322156B"/>
    <w:rsid w:val="13250615"/>
    <w:rsid w:val="13302A9E"/>
    <w:rsid w:val="13302ADD"/>
    <w:rsid w:val="1339636A"/>
    <w:rsid w:val="134E5D7E"/>
    <w:rsid w:val="135151F0"/>
    <w:rsid w:val="13593889"/>
    <w:rsid w:val="136535E4"/>
    <w:rsid w:val="13B35280"/>
    <w:rsid w:val="13B62CCC"/>
    <w:rsid w:val="13B9214F"/>
    <w:rsid w:val="13B93D7D"/>
    <w:rsid w:val="13CB3B2F"/>
    <w:rsid w:val="13CB7A99"/>
    <w:rsid w:val="13D61EAB"/>
    <w:rsid w:val="13D77B52"/>
    <w:rsid w:val="13E17A5F"/>
    <w:rsid w:val="13F97126"/>
    <w:rsid w:val="14065A6C"/>
    <w:rsid w:val="14446A98"/>
    <w:rsid w:val="145332C6"/>
    <w:rsid w:val="14675587"/>
    <w:rsid w:val="1479507A"/>
    <w:rsid w:val="147F5A3C"/>
    <w:rsid w:val="14851ECA"/>
    <w:rsid w:val="148B620F"/>
    <w:rsid w:val="149D3C67"/>
    <w:rsid w:val="14A73BA7"/>
    <w:rsid w:val="14BF038C"/>
    <w:rsid w:val="14D0651D"/>
    <w:rsid w:val="14D52EAF"/>
    <w:rsid w:val="14D934AA"/>
    <w:rsid w:val="14DC1395"/>
    <w:rsid w:val="14E1281B"/>
    <w:rsid w:val="14EA1DD5"/>
    <w:rsid w:val="15091649"/>
    <w:rsid w:val="150F0E19"/>
    <w:rsid w:val="152514D7"/>
    <w:rsid w:val="152F1A3C"/>
    <w:rsid w:val="153530B9"/>
    <w:rsid w:val="15381F1D"/>
    <w:rsid w:val="153C7453"/>
    <w:rsid w:val="153E57AB"/>
    <w:rsid w:val="154901BB"/>
    <w:rsid w:val="15646A6B"/>
    <w:rsid w:val="15793AC3"/>
    <w:rsid w:val="157F619F"/>
    <w:rsid w:val="15867310"/>
    <w:rsid w:val="15874B32"/>
    <w:rsid w:val="159B6FBB"/>
    <w:rsid w:val="15B6694D"/>
    <w:rsid w:val="15D33FC1"/>
    <w:rsid w:val="15DD7672"/>
    <w:rsid w:val="15DE4FD5"/>
    <w:rsid w:val="15E02A68"/>
    <w:rsid w:val="15E149A1"/>
    <w:rsid w:val="15E40A47"/>
    <w:rsid w:val="15EB00B5"/>
    <w:rsid w:val="160627C0"/>
    <w:rsid w:val="161106BE"/>
    <w:rsid w:val="16256F8D"/>
    <w:rsid w:val="16311C89"/>
    <w:rsid w:val="16513ACC"/>
    <w:rsid w:val="16664228"/>
    <w:rsid w:val="166C22C9"/>
    <w:rsid w:val="16951060"/>
    <w:rsid w:val="16994346"/>
    <w:rsid w:val="169E2829"/>
    <w:rsid w:val="169E37F0"/>
    <w:rsid w:val="16A5770A"/>
    <w:rsid w:val="16C90228"/>
    <w:rsid w:val="16D261DE"/>
    <w:rsid w:val="16EA62B0"/>
    <w:rsid w:val="16FF0AA1"/>
    <w:rsid w:val="17037726"/>
    <w:rsid w:val="170610D5"/>
    <w:rsid w:val="172845E3"/>
    <w:rsid w:val="17436EEC"/>
    <w:rsid w:val="174B7FDC"/>
    <w:rsid w:val="17680BAD"/>
    <w:rsid w:val="176842C4"/>
    <w:rsid w:val="176E4006"/>
    <w:rsid w:val="17782DC2"/>
    <w:rsid w:val="177E2E04"/>
    <w:rsid w:val="178B1386"/>
    <w:rsid w:val="17B84B2E"/>
    <w:rsid w:val="17C84135"/>
    <w:rsid w:val="17D223A1"/>
    <w:rsid w:val="17D42BC2"/>
    <w:rsid w:val="17E86735"/>
    <w:rsid w:val="18114B9F"/>
    <w:rsid w:val="18117BF8"/>
    <w:rsid w:val="18153725"/>
    <w:rsid w:val="1819399D"/>
    <w:rsid w:val="1824393D"/>
    <w:rsid w:val="1845140B"/>
    <w:rsid w:val="186E3216"/>
    <w:rsid w:val="187A7312"/>
    <w:rsid w:val="18B660E8"/>
    <w:rsid w:val="18B80B3C"/>
    <w:rsid w:val="18BD0FCC"/>
    <w:rsid w:val="18E45D80"/>
    <w:rsid w:val="18ED73B7"/>
    <w:rsid w:val="19170008"/>
    <w:rsid w:val="192C5F35"/>
    <w:rsid w:val="19333A63"/>
    <w:rsid w:val="193475FA"/>
    <w:rsid w:val="1935675B"/>
    <w:rsid w:val="195B46B4"/>
    <w:rsid w:val="196225DA"/>
    <w:rsid w:val="19672B3E"/>
    <w:rsid w:val="196832CD"/>
    <w:rsid w:val="196A7771"/>
    <w:rsid w:val="19730BB5"/>
    <w:rsid w:val="19880083"/>
    <w:rsid w:val="19890C4A"/>
    <w:rsid w:val="19A746BC"/>
    <w:rsid w:val="19B945F1"/>
    <w:rsid w:val="19BA1C33"/>
    <w:rsid w:val="19BB4080"/>
    <w:rsid w:val="19BC35CF"/>
    <w:rsid w:val="19C607A2"/>
    <w:rsid w:val="19C8336C"/>
    <w:rsid w:val="19CA48D4"/>
    <w:rsid w:val="19ED7406"/>
    <w:rsid w:val="19F06510"/>
    <w:rsid w:val="19F1718F"/>
    <w:rsid w:val="19F273ED"/>
    <w:rsid w:val="19F90FCA"/>
    <w:rsid w:val="1A0F2E8A"/>
    <w:rsid w:val="1A0F6F1C"/>
    <w:rsid w:val="1A114CC8"/>
    <w:rsid w:val="1A13130A"/>
    <w:rsid w:val="1A463813"/>
    <w:rsid w:val="1A6A1C4E"/>
    <w:rsid w:val="1A765A99"/>
    <w:rsid w:val="1A9946D6"/>
    <w:rsid w:val="1AAC68BE"/>
    <w:rsid w:val="1AB82F0E"/>
    <w:rsid w:val="1AE8620E"/>
    <w:rsid w:val="1AEC25CF"/>
    <w:rsid w:val="1AFE05D4"/>
    <w:rsid w:val="1B0076DF"/>
    <w:rsid w:val="1B0C07CA"/>
    <w:rsid w:val="1B176D6D"/>
    <w:rsid w:val="1B2164EF"/>
    <w:rsid w:val="1B2E7A0A"/>
    <w:rsid w:val="1B3D7D95"/>
    <w:rsid w:val="1B3F186C"/>
    <w:rsid w:val="1B4141D5"/>
    <w:rsid w:val="1B4E2F20"/>
    <w:rsid w:val="1B5B1AE4"/>
    <w:rsid w:val="1B5C5FD2"/>
    <w:rsid w:val="1B753194"/>
    <w:rsid w:val="1B7568F4"/>
    <w:rsid w:val="1B775EB9"/>
    <w:rsid w:val="1B8D5F84"/>
    <w:rsid w:val="1B91285D"/>
    <w:rsid w:val="1B951814"/>
    <w:rsid w:val="1BA81036"/>
    <w:rsid w:val="1BAA6BBB"/>
    <w:rsid w:val="1BAD6E0A"/>
    <w:rsid w:val="1BCB6F74"/>
    <w:rsid w:val="1BCC511A"/>
    <w:rsid w:val="1BD13CAC"/>
    <w:rsid w:val="1BDF42CF"/>
    <w:rsid w:val="1BE136FD"/>
    <w:rsid w:val="1BE526B0"/>
    <w:rsid w:val="1BE801B8"/>
    <w:rsid w:val="1BE94773"/>
    <w:rsid w:val="1BEC3A1B"/>
    <w:rsid w:val="1BF62E9A"/>
    <w:rsid w:val="1BFB1A8B"/>
    <w:rsid w:val="1BFC3E0F"/>
    <w:rsid w:val="1C0807D2"/>
    <w:rsid w:val="1C0A62EA"/>
    <w:rsid w:val="1C0D4274"/>
    <w:rsid w:val="1C2736BD"/>
    <w:rsid w:val="1C275765"/>
    <w:rsid w:val="1C3753AE"/>
    <w:rsid w:val="1C3A0A13"/>
    <w:rsid w:val="1C4755FA"/>
    <w:rsid w:val="1C566DA6"/>
    <w:rsid w:val="1C596986"/>
    <w:rsid w:val="1C610430"/>
    <w:rsid w:val="1C634AAB"/>
    <w:rsid w:val="1C651830"/>
    <w:rsid w:val="1C755503"/>
    <w:rsid w:val="1C781A52"/>
    <w:rsid w:val="1C8D560B"/>
    <w:rsid w:val="1C9C4360"/>
    <w:rsid w:val="1CD97A94"/>
    <w:rsid w:val="1CDB109D"/>
    <w:rsid w:val="1CDB1E5A"/>
    <w:rsid w:val="1CE235A0"/>
    <w:rsid w:val="1CE86B8D"/>
    <w:rsid w:val="1D012E59"/>
    <w:rsid w:val="1D020CDA"/>
    <w:rsid w:val="1D285DEF"/>
    <w:rsid w:val="1D2D617C"/>
    <w:rsid w:val="1D386EC1"/>
    <w:rsid w:val="1D5754C7"/>
    <w:rsid w:val="1D5A6C19"/>
    <w:rsid w:val="1D66789B"/>
    <w:rsid w:val="1D7120F5"/>
    <w:rsid w:val="1D724277"/>
    <w:rsid w:val="1D8157A3"/>
    <w:rsid w:val="1D894872"/>
    <w:rsid w:val="1D9209D8"/>
    <w:rsid w:val="1D9645BF"/>
    <w:rsid w:val="1DB338CA"/>
    <w:rsid w:val="1DB605DB"/>
    <w:rsid w:val="1DB82453"/>
    <w:rsid w:val="1DBE3EB5"/>
    <w:rsid w:val="1DD406E6"/>
    <w:rsid w:val="1DDA3A38"/>
    <w:rsid w:val="1DEC1EDA"/>
    <w:rsid w:val="1DF53013"/>
    <w:rsid w:val="1E1051F4"/>
    <w:rsid w:val="1E1F52DF"/>
    <w:rsid w:val="1E293C99"/>
    <w:rsid w:val="1E307E9B"/>
    <w:rsid w:val="1E42677E"/>
    <w:rsid w:val="1E4B1FFD"/>
    <w:rsid w:val="1E6F5D89"/>
    <w:rsid w:val="1E971C04"/>
    <w:rsid w:val="1EA06946"/>
    <w:rsid w:val="1EC628D2"/>
    <w:rsid w:val="1ED54C59"/>
    <w:rsid w:val="1ED750EC"/>
    <w:rsid w:val="1EE95825"/>
    <w:rsid w:val="1F1809EA"/>
    <w:rsid w:val="1F1958B0"/>
    <w:rsid w:val="1F227B5C"/>
    <w:rsid w:val="1F3036B6"/>
    <w:rsid w:val="1F35099C"/>
    <w:rsid w:val="1F3822EE"/>
    <w:rsid w:val="1F3B3C97"/>
    <w:rsid w:val="1F5439FC"/>
    <w:rsid w:val="1F595670"/>
    <w:rsid w:val="1F737C53"/>
    <w:rsid w:val="1F837E47"/>
    <w:rsid w:val="1F861CD0"/>
    <w:rsid w:val="1F915E40"/>
    <w:rsid w:val="1F946F70"/>
    <w:rsid w:val="1F9642CD"/>
    <w:rsid w:val="1FAD562A"/>
    <w:rsid w:val="1FB37033"/>
    <w:rsid w:val="1FB62500"/>
    <w:rsid w:val="1FC80FFC"/>
    <w:rsid w:val="1FCB5BA8"/>
    <w:rsid w:val="1FF15073"/>
    <w:rsid w:val="200C61EC"/>
    <w:rsid w:val="20104C3F"/>
    <w:rsid w:val="20134529"/>
    <w:rsid w:val="201A60CD"/>
    <w:rsid w:val="203B631D"/>
    <w:rsid w:val="203E4D39"/>
    <w:rsid w:val="204F0487"/>
    <w:rsid w:val="20510AE4"/>
    <w:rsid w:val="2052555B"/>
    <w:rsid w:val="205D3C00"/>
    <w:rsid w:val="207A76FE"/>
    <w:rsid w:val="20887C59"/>
    <w:rsid w:val="208A56D0"/>
    <w:rsid w:val="208C24F9"/>
    <w:rsid w:val="208D69DD"/>
    <w:rsid w:val="209B4D0C"/>
    <w:rsid w:val="20C5552F"/>
    <w:rsid w:val="20DC46CB"/>
    <w:rsid w:val="20E2163D"/>
    <w:rsid w:val="20F11F87"/>
    <w:rsid w:val="21031C7C"/>
    <w:rsid w:val="21071321"/>
    <w:rsid w:val="211126F8"/>
    <w:rsid w:val="21161F5D"/>
    <w:rsid w:val="212C1840"/>
    <w:rsid w:val="213044C1"/>
    <w:rsid w:val="214B5513"/>
    <w:rsid w:val="21583FD8"/>
    <w:rsid w:val="215A10D9"/>
    <w:rsid w:val="2165487D"/>
    <w:rsid w:val="216800C0"/>
    <w:rsid w:val="21786F5A"/>
    <w:rsid w:val="2183617B"/>
    <w:rsid w:val="21AB59D2"/>
    <w:rsid w:val="21C55ED6"/>
    <w:rsid w:val="21D57421"/>
    <w:rsid w:val="21E818C8"/>
    <w:rsid w:val="21ED3BDA"/>
    <w:rsid w:val="21F50220"/>
    <w:rsid w:val="22017752"/>
    <w:rsid w:val="220371B1"/>
    <w:rsid w:val="22145BCD"/>
    <w:rsid w:val="22184B49"/>
    <w:rsid w:val="22281B12"/>
    <w:rsid w:val="22307F02"/>
    <w:rsid w:val="22347E2C"/>
    <w:rsid w:val="223537D3"/>
    <w:rsid w:val="224C1325"/>
    <w:rsid w:val="224C187C"/>
    <w:rsid w:val="227F69C4"/>
    <w:rsid w:val="228654A8"/>
    <w:rsid w:val="229A61AF"/>
    <w:rsid w:val="229D3E3D"/>
    <w:rsid w:val="22A46C3E"/>
    <w:rsid w:val="22B46891"/>
    <w:rsid w:val="22E20748"/>
    <w:rsid w:val="22F20DB3"/>
    <w:rsid w:val="22F249E6"/>
    <w:rsid w:val="23070DBA"/>
    <w:rsid w:val="230977FD"/>
    <w:rsid w:val="23102F77"/>
    <w:rsid w:val="23235D02"/>
    <w:rsid w:val="23277E3D"/>
    <w:rsid w:val="232D1250"/>
    <w:rsid w:val="23450942"/>
    <w:rsid w:val="236D3CB6"/>
    <w:rsid w:val="237F35F7"/>
    <w:rsid w:val="23880F49"/>
    <w:rsid w:val="238C6A87"/>
    <w:rsid w:val="23940530"/>
    <w:rsid w:val="23B77254"/>
    <w:rsid w:val="23BF4DD9"/>
    <w:rsid w:val="23C66768"/>
    <w:rsid w:val="23DA57CD"/>
    <w:rsid w:val="23DE2F9A"/>
    <w:rsid w:val="23FB6424"/>
    <w:rsid w:val="2401477B"/>
    <w:rsid w:val="24017CFF"/>
    <w:rsid w:val="24140349"/>
    <w:rsid w:val="241457A7"/>
    <w:rsid w:val="2421725F"/>
    <w:rsid w:val="243B7547"/>
    <w:rsid w:val="243C306B"/>
    <w:rsid w:val="243E4260"/>
    <w:rsid w:val="246938D1"/>
    <w:rsid w:val="2484278B"/>
    <w:rsid w:val="248539E7"/>
    <w:rsid w:val="2486597E"/>
    <w:rsid w:val="248A0234"/>
    <w:rsid w:val="248B2179"/>
    <w:rsid w:val="248D14BF"/>
    <w:rsid w:val="24917583"/>
    <w:rsid w:val="24941A0C"/>
    <w:rsid w:val="249F65E2"/>
    <w:rsid w:val="24A93DF8"/>
    <w:rsid w:val="24B952E9"/>
    <w:rsid w:val="24BF08DA"/>
    <w:rsid w:val="24BF4355"/>
    <w:rsid w:val="24D716B1"/>
    <w:rsid w:val="24DA0033"/>
    <w:rsid w:val="24DF63FA"/>
    <w:rsid w:val="24FE5670"/>
    <w:rsid w:val="251E6561"/>
    <w:rsid w:val="252258C3"/>
    <w:rsid w:val="255A640C"/>
    <w:rsid w:val="25683312"/>
    <w:rsid w:val="258861D5"/>
    <w:rsid w:val="25892B46"/>
    <w:rsid w:val="25A30C9D"/>
    <w:rsid w:val="25A367DC"/>
    <w:rsid w:val="25B51471"/>
    <w:rsid w:val="25CD4E9D"/>
    <w:rsid w:val="25CD592D"/>
    <w:rsid w:val="25CD6B49"/>
    <w:rsid w:val="25E2137E"/>
    <w:rsid w:val="2603648E"/>
    <w:rsid w:val="26277C4D"/>
    <w:rsid w:val="263928F0"/>
    <w:rsid w:val="265A6B3C"/>
    <w:rsid w:val="267B44C8"/>
    <w:rsid w:val="2686178F"/>
    <w:rsid w:val="268B685B"/>
    <w:rsid w:val="2696503E"/>
    <w:rsid w:val="269E2655"/>
    <w:rsid w:val="26A67708"/>
    <w:rsid w:val="26C052D2"/>
    <w:rsid w:val="26C8149A"/>
    <w:rsid w:val="26F30B21"/>
    <w:rsid w:val="26F73C9C"/>
    <w:rsid w:val="26FC1130"/>
    <w:rsid w:val="270B0509"/>
    <w:rsid w:val="27373ACA"/>
    <w:rsid w:val="273A10F7"/>
    <w:rsid w:val="27472436"/>
    <w:rsid w:val="277403E5"/>
    <w:rsid w:val="277C52E2"/>
    <w:rsid w:val="277E664E"/>
    <w:rsid w:val="27930CC3"/>
    <w:rsid w:val="27962421"/>
    <w:rsid w:val="2796339D"/>
    <w:rsid w:val="279C151C"/>
    <w:rsid w:val="279D2D96"/>
    <w:rsid w:val="27A93322"/>
    <w:rsid w:val="27B364C8"/>
    <w:rsid w:val="27C27863"/>
    <w:rsid w:val="27D50FEB"/>
    <w:rsid w:val="27DB5BC9"/>
    <w:rsid w:val="27DC133B"/>
    <w:rsid w:val="27E16B57"/>
    <w:rsid w:val="27E22DFD"/>
    <w:rsid w:val="27F85958"/>
    <w:rsid w:val="28006C96"/>
    <w:rsid w:val="28036CC4"/>
    <w:rsid w:val="28065DA1"/>
    <w:rsid w:val="280825D0"/>
    <w:rsid w:val="28104CEB"/>
    <w:rsid w:val="28146DCF"/>
    <w:rsid w:val="282A1EA3"/>
    <w:rsid w:val="28490F36"/>
    <w:rsid w:val="284C0184"/>
    <w:rsid w:val="28511215"/>
    <w:rsid w:val="28A05CB8"/>
    <w:rsid w:val="28A303B4"/>
    <w:rsid w:val="28B2499A"/>
    <w:rsid w:val="28BA393E"/>
    <w:rsid w:val="28C772E9"/>
    <w:rsid w:val="28C91C0D"/>
    <w:rsid w:val="28CF798E"/>
    <w:rsid w:val="28E51973"/>
    <w:rsid w:val="28F37C51"/>
    <w:rsid w:val="28F86C85"/>
    <w:rsid w:val="291A722A"/>
    <w:rsid w:val="29207F9B"/>
    <w:rsid w:val="293F40A7"/>
    <w:rsid w:val="29644736"/>
    <w:rsid w:val="29656309"/>
    <w:rsid w:val="29835ECE"/>
    <w:rsid w:val="299C7AF5"/>
    <w:rsid w:val="299F00CC"/>
    <w:rsid w:val="29A834EA"/>
    <w:rsid w:val="29B75E71"/>
    <w:rsid w:val="29B8728B"/>
    <w:rsid w:val="29C50211"/>
    <w:rsid w:val="29D35F60"/>
    <w:rsid w:val="29D55B57"/>
    <w:rsid w:val="29F01141"/>
    <w:rsid w:val="2A0071FE"/>
    <w:rsid w:val="2A121FFA"/>
    <w:rsid w:val="2A3A31A6"/>
    <w:rsid w:val="2A61575C"/>
    <w:rsid w:val="2A626F5F"/>
    <w:rsid w:val="2A670633"/>
    <w:rsid w:val="2A6F26B5"/>
    <w:rsid w:val="2A706FAE"/>
    <w:rsid w:val="2A796CAD"/>
    <w:rsid w:val="2A872A72"/>
    <w:rsid w:val="2A8A52CD"/>
    <w:rsid w:val="2A9431E5"/>
    <w:rsid w:val="2A982A1A"/>
    <w:rsid w:val="2AA329E5"/>
    <w:rsid w:val="2AB050A0"/>
    <w:rsid w:val="2ABC0CD6"/>
    <w:rsid w:val="2AE90934"/>
    <w:rsid w:val="2B0C7442"/>
    <w:rsid w:val="2B1B3771"/>
    <w:rsid w:val="2B243B25"/>
    <w:rsid w:val="2B30627B"/>
    <w:rsid w:val="2B451367"/>
    <w:rsid w:val="2B457755"/>
    <w:rsid w:val="2B527867"/>
    <w:rsid w:val="2B5D4254"/>
    <w:rsid w:val="2B920E7D"/>
    <w:rsid w:val="2BBD13CF"/>
    <w:rsid w:val="2BCB2809"/>
    <w:rsid w:val="2BDA1292"/>
    <w:rsid w:val="2BDC551A"/>
    <w:rsid w:val="2BEB2DC6"/>
    <w:rsid w:val="2BEE2D05"/>
    <w:rsid w:val="2BF842A8"/>
    <w:rsid w:val="2BFC7A27"/>
    <w:rsid w:val="2C0F266B"/>
    <w:rsid w:val="2C155F0B"/>
    <w:rsid w:val="2C1F00E6"/>
    <w:rsid w:val="2C241C4D"/>
    <w:rsid w:val="2C4317A0"/>
    <w:rsid w:val="2C4C3942"/>
    <w:rsid w:val="2C4D0D12"/>
    <w:rsid w:val="2C51382B"/>
    <w:rsid w:val="2C5B5268"/>
    <w:rsid w:val="2C885C75"/>
    <w:rsid w:val="2C8A4A0C"/>
    <w:rsid w:val="2C916DAF"/>
    <w:rsid w:val="2C925556"/>
    <w:rsid w:val="2C96150C"/>
    <w:rsid w:val="2C963A93"/>
    <w:rsid w:val="2CBD01BF"/>
    <w:rsid w:val="2CCB2D63"/>
    <w:rsid w:val="2CD74A15"/>
    <w:rsid w:val="2CFE02F1"/>
    <w:rsid w:val="2D2D003A"/>
    <w:rsid w:val="2D36167C"/>
    <w:rsid w:val="2D3A3593"/>
    <w:rsid w:val="2D68482B"/>
    <w:rsid w:val="2D6C2615"/>
    <w:rsid w:val="2D73605D"/>
    <w:rsid w:val="2D8B1E2A"/>
    <w:rsid w:val="2D8B6627"/>
    <w:rsid w:val="2D913F8D"/>
    <w:rsid w:val="2D9478D2"/>
    <w:rsid w:val="2DA337E3"/>
    <w:rsid w:val="2DB26F8D"/>
    <w:rsid w:val="2DC25B64"/>
    <w:rsid w:val="2DC63C6F"/>
    <w:rsid w:val="2DCA5F1C"/>
    <w:rsid w:val="2DCB37E7"/>
    <w:rsid w:val="2DD02681"/>
    <w:rsid w:val="2DD46DDA"/>
    <w:rsid w:val="2DFD6E84"/>
    <w:rsid w:val="2E002D90"/>
    <w:rsid w:val="2E0E4945"/>
    <w:rsid w:val="2E111EFF"/>
    <w:rsid w:val="2E177119"/>
    <w:rsid w:val="2E3D2143"/>
    <w:rsid w:val="2E405DF1"/>
    <w:rsid w:val="2E5040FA"/>
    <w:rsid w:val="2E5F1FA0"/>
    <w:rsid w:val="2E616F74"/>
    <w:rsid w:val="2E7816F2"/>
    <w:rsid w:val="2E794113"/>
    <w:rsid w:val="2E80166C"/>
    <w:rsid w:val="2E860D05"/>
    <w:rsid w:val="2E8670CE"/>
    <w:rsid w:val="2E911674"/>
    <w:rsid w:val="2E927EC1"/>
    <w:rsid w:val="2E970C70"/>
    <w:rsid w:val="2E9A3FE1"/>
    <w:rsid w:val="2EA70B9C"/>
    <w:rsid w:val="2EB83665"/>
    <w:rsid w:val="2EBF7F2B"/>
    <w:rsid w:val="2EC00411"/>
    <w:rsid w:val="2ECA23DF"/>
    <w:rsid w:val="2ECE1958"/>
    <w:rsid w:val="2ED372F5"/>
    <w:rsid w:val="2EDC67C9"/>
    <w:rsid w:val="2EE755B1"/>
    <w:rsid w:val="2EF259A7"/>
    <w:rsid w:val="2F092A2D"/>
    <w:rsid w:val="2F13599A"/>
    <w:rsid w:val="2F1D41B6"/>
    <w:rsid w:val="2F2E6027"/>
    <w:rsid w:val="2F420EE0"/>
    <w:rsid w:val="2F442F88"/>
    <w:rsid w:val="2F4E2826"/>
    <w:rsid w:val="2F6C2180"/>
    <w:rsid w:val="2F7930D7"/>
    <w:rsid w:val="2F8B019F"/>
    <w:rsid w:val="2F907718"/>
    <w:rsid w:val="2FA367DC"/>
    <w:rsid w:val="2FA84905"/>
    <w:rsid w:val="2FB267A5"/>
    <w:rsid w:val="2FBF4EE5"/>
    <w:rsid w:val="2FC46210"/>
    <w:rsid w:val="2FD93590"/>
    <w:rsid w:val="2FE30510"/>
    <w:rsid w:val="30042E68"/>
    <w:rsid w:val="300816B0"/>
    <w:rsid w:val="300852B5"/>
    <w:rsid w:val="30104777"/>
    <w:rsid w:val="301206A5"/>
    <w:rsid w:val="30142410"/>
    <w:rsid w:val="302D0DDD"/>
    <w:rsid w:val="303D369F"/>
    <w:rsid w:val="304438EC"/>
    <w:rsid w:val="30447D27"/>
    <w:rsid w:val="304E351F"/>
    <w:rsid w:val="3068263C"/>
    <w:rsid w:val="306B5300"/>
    <w:rsid w:val="308C78AB"/>
    <w:rsid w:val="30911DD3"/>
    <w:rsid w:val="30912EAD"/>
    <w:rsid w:val="30A85D7F"/>
    <w:rsid w:val="30BD2396"/>
    <w:rsid w:val="30C126E5"/>
    <w:rsid w:val="30CD2BF9"/>
    <w:rsid w:val="30ED61F8"/>
    <w:rsid w:val="30FA117C"/>
    <w:rsid w:val="31040496"/>
    <w:rsid w:val="310507CC"/>
    <w:rsid w:val="310C113A"/>
    <w:rsid w:val="311A7A2A"/>
    <w:rsid w:val="312E3053"/>
    <w:rsid w:val="31364814"/>
    <w:rsid w:val="313D13C1"/>
    <w:rsid w:val="315A437F"/>
    <w:rsid w:val="3192382A"/>
    <w:rsid w:val="31940EBF"/>
    <w:rsid w:val="31973CF4"/>
    <w:rsid w:val="31A9386A"/>
    <w:rsid w:val="31B80029"/>
    <w:rsid w:val="31C836E0"/>
    <w:rsid w:val="31DB643B"/>
    <w:rsid w:val="31E706D1"/>
    <w:rsid w:val="31F806F1"/>
    <w:rsid w:val="3200788C"/>
    <w:rsid w:val="3203137C"/>
    <w:rsid w:val="32070230"/>
    <w:rsid w:val="320F090E"/>
    <w:rsid w:val="32113087"/>
    <w:rsid w:val="322075EC"/>
    <w:rsid w:val="322D3890"/>
    <w:rsid w:val="32497E46"/>
    <w:rsid w:val="324D5123"/>
    <w:rsid w:val="324F59C3"/>
    <w:rsid w:val="32540996"/>
    <w:rsid w:val="325718F5"/>
    <w:rsid w:val="32664B0D"/>
    <w:rsid w:val="328446B2"/>
    <w:rsid w:val="328C64C0"/>
    <w:rsid w:val="328D5992"/>
    <w:rsid w:val="32927E67"/>
    <w:rsid w:val="32A766BE"/>
    <w:rsid w:val="32AC0C0F"/>
    <w:rsid w:val="32B67649"/>
    <w:rsid w:val="32C54777"/>
    <w:rsid w:val="32F84752"/>
    <w:rsid w:val="330254BE"/>
    <w:rsid w:val="33037BEF"/>
    <w:rsid w:val="330739AA"/>
    <w:rsid w:val="330C5B36"/>
    <w:rsid w:val="330D2C60"/>
    <w:rsid w:val="332C5B11"/>
    <w:rsid w:val="333A6824"/>
    <w:rsid w:val="3340463C"/>
    <w:rsid w:val="334D0340"/>
    <w:rsid w:val="334F0147"/>
    <w:rsid w:val="33513C8A"/>
    <w:rsid w:val="33536EF6"/>
    <w:rsid w:val="33654079"/>
    <w:rsid w:val="33684311"/>
    <w:rsid w:val="337D4489"/>
    <w:rsid w:val="338A5921"/>
    <w:rsid w:val="338C7093"/>
    <w:rsid w:val="33A13CF5"/>
    <w:rsid w:val="33A41290"/>
    <w:rsid w:val="33BC518B"/>
    <w:rsid w:val="33BC75E9"/>
    <w:rsid w:val="33E31BE8"/>
    <w:rsid w:val="33EB4843"/>
    <w:rsid w:val="33FF74B7"/>
    <w:rsid w:val="34042B8B"/>
    <w:rsid w:val="34112C15"/>
    <w:rsid w:val="345120BC"/>
    <w:rsid w:val="34574B4B"/>
    <w:rsid w:val="345A7467"/>
    <w:rsid w:val="345D1027"/>
    <w:rsid w:val="34607B0C"/>
    <w:rsid w:val="347A020B"/>
    <w:rsid w:val="349E4852"/>
    <w:rsid w:val="34A27F8C"/>
    <w:rsid w:val="34B1496D"/>
    <w:rsid w:val="34BD7782"/>
    <w:rsid w:val="34BE6094"/>
    <w:rsid w:val="34C757EE"/>
    <w:rsid w:val="34CA1B2C"/>
    <w:rsid w:val="34CC6203"/>
    <w:rsid w:val="34D5534E"/>
    <w:rsid w:val="34DB0635"/>
    <w:rsid w:val="34E159A2"/>
    <w:rsid w:val="34F73B24"/>
    <w:rsid w:val="34FB4DAC"/>
    <w:rsid w:val="350A456B"/>
    <w:rsid w:val="350C0B50"/>
    <w:rsid w:val="351F1F18"/>
    <w:rsid w:val="35272378"/>
    <w:rsid w:val="352D537E"/>
    <w:rsid w:val="352D61FA"/>
    <w:rsid w:val="354B241B"/>
    <w:rsid w:val="35640ED5"/>
    <w:rsid w:val="356639B8"/>
    <w:rsid w:val="356F52C6"/>
    <w:rsid w:val="35717229"/>
    <w:rsid w:val="35766BCA"/>
    <w:rsid w:val="35806D18"/>
    <w:rsid w:val="358715F9"/>
    <w:rsid w:val="35893BF4"/>
    <w:rsid w:val="358B3085"/>
    <w:rsid w:val="35907244"/>
    <w:rsid w:val="35A60D7D"/>
    <w:rsid w:val="35C45083"/>
    <w:rsid w:val="35D83462"/>
    <w:rsid w:val="35E15863"/>
    <w:rsid w:val="35E30F99"/>
    <w:rsid w:val="35F5077B"/>
    <w:rsid w:val="36010046"/>
    <w:rsid w:val="3614379F"/>
    <w:rsid w:val="36315493"/>
    <w:rsid w:val="363A18F4"/>
    <w:rsid w:val="36465FD9"/>
    <w:rsid w:val="365B1CDD"/>
    <w:rsid w:val="366576E3"/>
    <w:rsid w:val="36770AB1"/>
    <w:rsid w:val="367A11C1"/>
    <w:rsid w:val="369127ED"/>
    <w:rsid w:val="36954CE1"/>
    <w:rsid w:val="369902C2"/>
    <w:rsid w:val="369C58AD"/>
    <w:rsid w:val="36D47687"/>
    <w:rsid w:val="36D72AC7"/>
    <w:rsid w:val="36E65488"/>
    <w:rsid w:val="36EB03F7"/>
    <w:rsid w:val="370C152A"/>
    <w:rsid w:val="3714385E"/>
    <w:rsid w:val="37261A17"/>
    <w:rsid w:val="372671DD"/>
    <w:rsid w:val="37282D4D"/>
    <w:rsid w:val="37396BC2"/>
    <w:rsid w:val="37892B23"/>
    <w:rsid w:val="37AB0521"/>
    <w:rsid w:val="37B04820"/>
    <w:rsid w:val="37B21427"/>
    <w:rsid w:val="37B5183D"/>
    <w:rsid w:val="37BE109D"/>
    <w:rsid w:val="37C6003C"/>
    <w:rsid w:val="37C6372D"/>
    <w:rsid w:val="37C853FD"/>
    <w:rsid w:val="37D911D9"/>
    <w:rsid w:val="37E67DCD"/>
    <w:rsid w:val="37EB727A"/>
    <w:rsid w:val="37FD0D37"/>
    <w:rsid w:val="381664EC"/>
    <w:rsid w:val="381E7A1F"/>
    <w:rsid w:val="382B1104"/>
    <w:rsid w:val="38336EAA"/>
    <w:rsid w:val="38366FB8"/>
    <w:rsid w:val="38387B74"/>
    <w:rsid w:val="383A619B"/>
    <w:rsid w:val="3853431C"/>
    <w:rsid w:val="38677BE4"/>
    <w:rsid w:val="3868195D"/>
    <w:rsid w:val="386C0561"/>
    <w:rsid w:val="387552D7"/>
    <w:rsid w:val="38777B9E"/>
    <w:rsid w:val="3889525A"/>
    <w:rsid w:val="38B47F68"/>
    <w:rsid w:val="38BD1998"/>
    <w:rsid w:val="38BE7AA4"/>
    <w:rsid w:val="38CC126B"/>
    <w:rsid w:val="38CD7C1F"/>
    <w:rsid w:val="38D17429"/>
    <w:rsid w:val="38D91B51"/>
    <w:rsid w:val="38DC1EA5"/>
    <w:rsid w:val="38F03254"/>
    <w:rsid w:val="38FC35C8"/>
    <w:rsid w:val="39186BDB"/>
    <w:rsid w:val="39324DD2"/>
    <w:rsid w:val="3939530B"/>
    <w:rsid w:val="39475B05"/>
    <w:rsid w:val="39493877"/>
    <w:rsid w:val="3960048D"/>
    <w:rsid w:val="39836351"/>
    <w:rsid w:val="39932377"/>
    <w:rsid w:val="39AC051B"/>
    <w:rsid w:val="39C218D8"/>
    <w:rsid w:val="39CC0131"/>
    <w:rsid w:val="39CD6E5A"/>
    <w:rsid w:val="39ED6723"/>
    <w:rsid w:val="39EE3068"/>
    <w:rsid w:val="39EF7E9D"/>
    <w:rsid w:val="39F2590D"/>
    <w:rsid w:val="39F27A8E"/>
    <w:rsid w:val="39F70CDF"/>
    <w:rsid w:val="3A083F96"/>
    <w:rsid w:val="3A335763"/>
    <w:rsid w:val="3A6959DF"/>
    <w:rsid w:val="3A707844"/>
    <w:rsid w:val="3A7129E1"/>
    <w:rsid w:val="3A777296"/>
    <w:rsid w:val="3A7C2F48"/>
    <w:rsid w:val="3ABC3FB2"/>
    <w:rsid w:val="3AD801D4"/>
    <w:rsid w:val="3ADA1830"/>
    <w:rsid w:val="3AE427E9"/>
    <w:rsid w:val="3AEF3168"/>
    <w:rsid w:val="3B03630C"/>
    <w:rsid w:val="3B11401E"/>
    <w:rsid w:val="3B15629C"/>
    <w:rsid w:val="3B166D0D"/>
    <w:rsid w:val="3B281D73"/>
    <w:rsid w:val="3B2D350F"/>
    <w:rsid w:val="3B3C2EA5"/>
    <w:rsid w:val="3B411466"/>
    <w:rsid w:val="3B43075C"/>
    <w:rsid w:val="3B504FE1"/>
    <w:rsid w:val="3B544D13"/>
    <w:rsid w:val="3B6C7E42"/>
    <w:rsid w:val="3B8B37AC"/>
    <w:rsid w:val="3B902701"/>
    <w:rsid w:val="3B970968"/>
    <w:rsid w:val="3BB05BB3"/>
    <w:rsid w:val="3BB10058"/>
    <w:rsid w:val="3BBA23E9"/>
    <w:rsid w:val="3BC41E9C"/>
    <w:rsid w:val="3BD643C0"/>
    <w:rsid w:val="3BE5360E"/>
    <w:rsid w:val="3BF07A3D"/>
    <w:rsid w:val="3BFA4F7A"/>
    <w:rsid w:val="3BFF5B0D"/>
    <w:rsid w:val="3C09717C"/>
    <w:rsid w:val="3C1A2CA2"/>
    <w:rsid w:val="3C28440C"/>
    <w:rsid w:val="3C347068"/>
    <w:rsid w:val="3C366A8C"/>
    <w:rsid w:val="3C392338"/>
    <w:rsid w:val="3C4238E5"/>
    <w:rsid w:val="3C4D5EA5"/>
    <w:rsid w:val="3C4D6516"/>
    <w:rsid w:val="3C5D4CA6"/>
    <w:rsid w:val="3C732F97"/>
    <w:rsid w:val="3C890ED0"/>
    <w:rsid w:val="3CC02EC7"/>
    <w:rsid w:val="3CC06D7A"/>
    <w:rsid w:val="3CCE1D0F"/>
    <w:rsid w:val="3CD02361"/>
    <w:rsid w:val="3CD63638"/>
    <w:rsid w:val="3CE945B1"/>
    <w:rsid w:val="3D185200"/>
    <w:rsid w:val="3D1955E8"/>
    <w:rsid w:val="3D1C7211"/>
    <w:rsid w:val="3D1D1193"/>
    <w:rsid w:val="3D402790"/>
    <w:rsid w:val="3D524108"/>
    <w:rsid w:val="3D536769"/>
    <w:rsid w:val="3D5D77D2"/>
    <w:rsid w:val="3D661505"/>
    <w:rsid w:val="3D675DBC"/>
    <w:rsid w:val="3D812E33"/>
    <w:rsid w:val="3D9F5585"/>
    <w:rsid w:val="3DA71181"/>
    <w:rsid w:val="3DC85792"/>
    <w:rsid w:val="3DD2001D"/>
    <w:rsid w:val="3DD46B14"/>
    <w:rsid w:val="3DF35CBD"/>
    <w:rsid w:val="3DFA4EFA"/>
    <w:rsid w:val="3DFF0B4E"/>
    <w:rsid w:val="3E014BB5"/>
    <w:rsid w:val="3E221DE0"/>
    <w:rsid w:val="3E2E3EF8"/>
    <w:rsid w:val="3E4810DF"/>
    <w:rsid w:val="3E601C4F"/>
    <w:rsid w:val="3E6769BB"/>
    <w:rsid w:val="3E7211E7"/>
    <w:rsid w:val="3E7F4814"/>
    <w:rsid w:val="3E7F750B"/>
    <w:rsid w:val="3E833C0B"/>
    <w:rsid w:val="3E84202F"/>
    <w:rsid w:val="3E8B595B"/>
    <w:rsid w:val="3E97614B"/>
    <w:rsid w:val="3EBA5990"/>
    <w:rsid w:val="3EC0526F"/>
    <w:rsid w:val="3ECB6EF2"/>
    <w:rsid w:val="3ED224E4"/>
    <w:rsid w:val="3EDE729D"/>
    <w:rsid w:val="3EED28B7"/>
    <w:rsid w:val="3EEF346E"/>
    <w:rsid w:val="3EFB2945"/>
    <w:rsid w:val="3F0E09AD"/>
    <w:rsid w:val="3F341BD3"/>
    <w:rsid w:val="3F3B1A4B"/>
    <w:rsid w:val="3F413E4E"/>
    <w:rsid w:val="3F44781D"/>
    <w:rsid w:val="3F52092B"/>
    <w:rsid w:val="3F5F789D"/>
    <w:rsid w:val="3F6A654C"/>
    <w:rsid w:val="3F6D0785"/>
    <w:rsid w:val="3F6D6B69"/>
    <w:rsid w:val="3F6D7DFC"/>
    <w:rsid w:val="3F771CBF"/>
    <w:rsid w:val="3F8178D8"/>
    <w:rsid w:val="3F8B707F"/>
    <w:rsid w:val="3FBB5C8B"/>
    <w:rsid w:val="3FDD427A"/>
    <w:rsid w:val="3FE933A0"/>
    <w:rsid w:val="401337BC"/>
    <w:rsid w:val="40213416"/>
    <w:rsid w:val="40270E5B"/>
    <w:rsid w:val="402A444D"/>
    <w:rsid w:val="402B23D8"/>
    <w:rsid w:val="402E2870"/>
    <w:rsid w:val="402F14A1"/>
    <w:rsid w:val="40382DE7"/>
    <w:rsid w:val="4045179C"/>
    <w:rsid w:val="404D7E85"/>
    <w:rsid w:val="4052241B"/>
    <w:rsid w:val="405A2FEE"/>
    <w:rsid w:val="40A3752B"/>
    <w:rsid w:val="40AC0264"/>
    <w:rsid w:val="40B51D1B"/>
    <w:rsid w:val="40C81829"/>
    <w:rsid w:val="40D55DA9"/>
    <w:rsid w:val="40EF576B"/>
    <w:rsid w:val="4109687A"/>
    <w:rsid w:val="412478FE"/>
    <w:rsid w:val="4129294A"/>
    <w:rsid w:val="413A462A"/>
    <w:rsid w:val="413A77B2"/>
    <w:rsid w:val="413C08BD"/>
    <w:rsid w:val="41412FF8"/>
    <w:rsid w:val="414B0CEC"/>
    <w:rsid w:val="41504185"/>
    <w:rsid w:val="415042C8"/>
    <w:rsid w:val="41693463"/>
    <w:rsid w:val="417E253D"/>
    <w:rsid w:val="41834464"/>
    <w:rsid w:val="419058BD"/>
    <w:rsid w:val="41A27C5E"/>
    <w:rsid w:val="41AD18FE"/>
    <w:rsid w:val="41B243B6"/>
    <w:rsid w:val="41C576DF"/>
    <w:rsid w:val="41C633C9"/>
    <w:rsid w:val="41D25D7A"/>
    <w:rsid w:val="41FE7804"/>
    <w:rsid w:val="42043FC4"/>
    <w:rsid w:val="420C7B00"/>
    <w:rsid w:val="421825F7"/>
    <w:rsid w:val="422E08F8"/>
    <w:rsid w:val="42376098"/>
    <w:rsid w:val="42451927"/>
    <w:rsid w:val="42500591"/>
    <w:rsid w:val="425C6B73"/>
    <w:rsid w:val="426B5835"/>
    <w:rsid w:val="427A1F66"/>
    <w:rsid w:val="428951AE"/>
    <w:rsid w:val="428D2472"/>
    <w:rsid w:val="42A83FB4"/>
    <w:rsid w:val="42B93A70"/>
    <w:rsid w:val="42C36CF5"/>
    <w:rsid w:val="42CD5147"/>
    <w:rsid w:val="42CE3C60"/>
    <w:rsid w:val="42DC1132"/>
    <w:rsid w:val="42DC32F6"/>
    <w:rsid w:val="42E40EF2"/>
    <w:rsid w:val="42E5731C"/>
    <w:rsid w:val="43000E09"/>
    <w:rsid w:val="43230FF4"/>
    <w:rsid w:val="43263FA7"/>
    <w:rsid w:val="43343416"/>
    <w:rsid w:val="434A5C3F"/>
    <w:rsid w:val="434E28C1"/>
    <w:rsid w:val="43724238"/>
    <w:rsid w:val="437636B4"/>
    <w:rsid w:val="43876031"/>
    <w:rsid w:val="43B65776"/>
    <w:rsid w:val="43B83C61"/>
    <w:rsid w:val="43C21210"/>
    <w:rsid w:val="43C86380"/>
    <w:rsid w:val="43D143D0"/>
    <w:rsid w:val="43FD796F"/>
    <w:rsid w:val="44072DE1"/>
    <w:rsid w:val="440A67C5"/>
    <w:rsid w:val="440E3278"/>
    <w:rsid w:val="440F2719"/>
    <w:rsid w:val="441F4086"/>
    <w:rsid w:val="4426053B"/>
    <w:rsid w:val="442D087E"/>
    <w:rsid w:val="44366414"/>
    <w:rsid w:val="443F23B0"/>
    <w:rsid w:val="443F2C7E"/>
    <w:rsid w:val="443F6F3A"/>
    <w:rsid w:val="447460F3"/>
    <w:rsid w:val="447B299D"/>
    <w:rsid w:val="447E2A90"/>
    <w:rsid w:val="44B720F0"/>
    <w:rsid w:val="44D04BF4"/>
    <w:rsid w:val="44D31B5A"/>
    <w:rsid w:val="44D74CD2"/>
    <w:rsid w:val="44DD2F84"/>
    <w:rsid w:val="44ED35F0"/>
    <w:rsid w:val="44F67718"/>
    <w:rsid w:val="44FD190B"/>
    <w:rsid w:val="45000231"/>
    <w:rsid w:val="4517239E"/>
    <w:rsid w:val="45276668"/>
    <w:rsid w:val="4538413D"/>
    <w:rsid w:val="45464ACE"/>
    <w:rsid w:val="454C5D59"/>
    <w:rsid w:val="455228F0"/>
    <w:rsid w:val="456C0E7E"/>
    <w:rsid w:val="457D1683"/>
    <w:rsid w:val="45803524"/>
    <w:rsid w:val="4591522D"/>
    <w:rsid w:val="459259A9"/>
    <w:rsid w:val="45A25562"/>
    <w:rsid w:val="45A33062"/>
    <w:rsid w:val="45AF045E"/>
    <w:rsid w:val="45B63973"/>
    <w:rsid w:val="45CB3BE7"/>
    <w:rsid w:val="45E549A8"/>
    <w:rsid w:val="45F368DE"/>
    <w:rsid w:val="460B6AF1"/>
    <w:rsid w:val="460F1276"/>
    <w:rsid w:val="461F44FC"/>
    <w:rsid w:val="462025EC"/>
    <w:rsid w:val="462547D1"/>
    <w:rsid w:val="463B2F7F"/>
    <w:rsid w:val="463E50C6"/>
    <w:rsid w:val="465C6901"/>
    <w:rsid w:val="466927EC"/>
    <w:rsid w:val="466D03EA"/>
    <w:rsid w:val="466F3735"/>
    <w:rsid w:val="46A15A19"/>
    <w:rsid w:val="46A35397"/>
    <w:rsid w:val="46AA3E46"/>
    <w:rsid w:val="46B16A55"/>
    <w:rsid w:val="46BF55B7"/>
    <w:rsid w:val="46C63187"/>
    <w:rsid w:val="46DC5B3A"/>
    <w:rsid w:val="46DD6522"/>
    <w:rsid w:val="46DF031F"/>
    <w:rsid w:val="46E10EE1"/>
    <w:rsid w:val="46E27265"/>
    <w:rsid w:val="46ED64ED"/>
    <w:rsid w:val="46F00F0E"/>
    <w:rsid w:val="46FC1ED1"/>
    <w:rsid w:val="470954C6"/>
    <w:rsid w:val="47101D0D"/>
    <w:rsid w:val="471400A6"/>
    <w:rsid w:val="47212751"/>
    <w:rsid w:val="475463D3"/>
    <w:rsid w:val="47563571"/>
    <w:rsid w:val="475728FF"/>
    <w:rsid w:val="475B5B17"/>
    <w:rsid w:val="477106C1"/>
    <w:rsid w:val="47751059"/>
    <w:rsid w:val="47831430"/>
    <w:rsid w:val="4791326D"/>
    <w:rsid w:val="47AC16F8"/>
    <w:rsid w:val="47BA155A"/>
    <w:rsid w:val="47C54EAE"/>
    <w:rsid w:val="47CB5485"/>
    <w:rsid w:val="47D16C11"/>
    <w:rsid w:val="47D24C2E"/>
    <w:rsid w:val="47D60CC2"/>
    <w:rsid w:val="47D66E8E"/>
    <w:rsid w:val="47D86FB4"/>
    <w:rsid w:val="47D8765C"/>
    <w:rsid w:val="47FB78E8"/>
    <w:rsid w:val="47FF6E48"/>
    <w:rsid w:val="48011F40"/>
    <w:rsid w:val="480610D8"/>
    <w:rsid w:val="4815278C"/>
    <w:rsid w:val="48240F12"/>
    <w:rsid w:val="482518BD"/>
    <w:rsid w:val="483F3EAD"/>
    <w:rsid w:val="48403A1E"/>
    <w:rsid w:val="484779B6"/>
    <w:rsid w:val="484918D8"/>
    <w:rsid w:val="48526FF8"/>
    <w:rsid w:val="485B682D"/>
    <w:rsid w:val="48737A2A"/>
    <w:rsid w:val="48752B84"/>
    <w:rsid w:val="48762CCD"/>
    <w:rsid w:val="48800E2B"/>
    <w:rsid w:val="48810F3D"/>
    <w:rsid w:val="48AF155D"/>
    <w:rsid w:val="48B150FA"/>
    <w:rsid w:val="48B6699B"/>
    <w:rsid w:val="48D267B2"/>
    <w:rsid w:val="48E776C0"/>
    <w:rsid w:val="48F0172F"/>
    <w:rsid w:val="48F42200"/>
    <w:rsid w:val="48FF1FFF"/>
    <w:rsid w:val="490D2E91"/>
    <w:rsid w:val="491241CD"/>
    <w:rsid w:val="491B62B3"/>
    <w:rsid w:val="49367195"/>
    <w:rsid w:val="494619BF"/>
    <w:rsid w:val="494B534B"/>
    <w:rsid w:val="495269A9"/>
    <w:rsid w:val="495C6924"/>
    <w:rsid w:val="497F3421"/>
    <w:rsid w:val="49863C97"/>
    <w:rsid w:val="49A10330"/>
    <w:rsid w:val="49A67F1D"/>
    <w:rsid w:val="49A72838"/>
    <w:rsid w:val="49AC02B6"/>
    <w:rsid w:val="49AD649B"/>
    <w:rsid w:val="49C22F19"/>
    <w:rsid w:val="49CD5F7F"/>
    <w:rsid w:val="49CF1C64"/>
    <w:rsid w:val="49D023D7"/>
    <w:rsid w:val="49DC2F77"/>
    <w:rsid w:val="49E45CDC"/>
    <w:rsid w:val="49F63803"/>
    <w:rsid w:val="49FD42DC"/>
    <w:rsid w:val="4A25346A"/>
    <w:rsid w:val="4A293F02"/>
    <w:rsid w:val="4A3C1FF1"/>
    <w:rsid w:val="4A426C23"/>
    <w:rsid w:val="4A473A74"/>
    <w:rsid w:val="4A647FCF"/>
    <w:rsid w:val="4A6C3C95"/>
    <w:rsid w:val="4A727B0A"/>
    <w:rsid w:val="4A727F15"/>
    <w:rsid w:val="4A8B69E3"/>
    <w:rsid w:val="4A8D1B1B"/>
    <w:rsid w:val="4A9753E2"/>
    <w:rsid w:val="4AA85F95"/>
    <w:rsid w:val="4AC34526"/>
    <w:rsid w:val="4AD2202D"/>
    <w:rsid w:val="4AD64E4C"/>
    <w:rsid w:val="4AE139ED"/>
    <w:rsid w:val="4AE95CCC"/>
    <w:rsid w:val="4AED3337"/>
    <w:rsid w:val="4AF0177E"/>
    <w:rsid w:val="4B0105F1"/>
    <w:rsid w:val="4B034121"/>
    <w:rsid w:val="4B1A0FCE"/>
    <w:rsid w:val="4B2B7948"/>
    <w:rsid w:val="4B2C1245"/>
    <w:rsid w:val="4B392CC0"/>
    <w:rsid w:val="4B3A1E69"/>
    <w:rsid w:val="4B3E7EE9"/>
    <w:rsid w:val="4B431E6F"/>
    <w:rsid w:val="4B4E064D"/>
    <w:rsid w:val="4B517555"/>
    <w:rsid w:val="4B59301F"/>
    <w:rsid w:val="4B5C3AF9"/>
    <w:rsid w:val="4B6E0176"/>
    <w:rsid w:val="4B6E3FC9"/>
    <w:rsid w:val="4B786B95"/>
    <w:rsid w:val="4B985C69"/>
    <w:rsid w:val="4B9B28D5"/>
    <w:rsid w:val="4BA211F9"/>
    <w:rsid w:val="4BB50D63"/>
    <w:rsid w:val="4BB873DB"/>
    <w:rsid w:val="4BBC6194"/>
    <w:rsid w:val="4BCC769C"/>
    <w:rsid w:val="4BDC43D0"/>
    <w:rsid w:val="4BE07E61"/>
    <w:rsid w:val="4BFC7883"/>
    <w:rsid w:val="4C1803B6"/>
    <w:rsid w:val="4C193B8A"/>
    <w:rsid w:val="4C273262"/>
    <w:rsid w:val="4C375383"/>
    <w:rsid w:val="4C394A40"/>
    <w:rsid w:val="4C3B4EBC"/>
    <w:rsid w:val="4C4A12DC"/>
    <w:rsid w:val="4C633ABB"/>
    <w:rsid w:val="4C701F99"/>
    <w:rsid w:val="4C7461A8"/>
    <w:rsid w:val="4C7513C9"/>
    <w:rsid w:val="4C7B09E6"/>
    <w:rsid w:val="4C7D4BE7"/>
    <w:rsid w:val="4C90278A"/>
    <w:rsid w:val="4C9C4514"/>
    <w:rsid w:val="4CBE5060"/>
    <w:rsid w:val="4CC37539"/>
    <w:rsid w:val="4CC82354"/>
    <w:rsid w:val="4CDC166F"/>
    <w:rsid w:val="4CE03ED6"/>
    <w:rsid w:val="4CE97F5A"/>
    <w:rsid w:val="4D1E6B0D"/>
    <w:rsid w:val="4D2C64EB"/>
    <w:rsid w:val="4D2F3959"/>
    <w:rsid w:val="4D3F2793"/>
    <w:rsid w:val="4D634A25"/>
    <w:rsid w:val="4D6F5492"/>
    <w:rsid w:val="4D742B93"/>
    <w:rsid w:val="4D777570"/>
    <w:rsid w:val="4D7830AE"/>
    <w:rsid w:val="4D7926CF"/>
    <w:rsid w:val="4D8D17BA"/>
    <w:rsid w:val="4D922269"/>
    <w:rsid w:val="4D9531B5"/>
    <w:rsid w:val="4DBC28FB"/>
    <w:rsid w:val="4DC04CAC"/>
    <w:rsid w:val="4DC25F5E"/>
    <w:rsid w:val="4DD030B1"/>
    <w:rsid w:val="4DDA7B04"/>
    <w:rsid w:val="4DDE46ED"/>
    <w:rsid w:val="4DE653E3"/>
    <w:rsid w:val="4DE85667"/>
    <w:rsid w:val="4E1068E4"/>
    <w:rsid w:val="4E167674"/>
    <w:rsid w:val="4E18318E"/>
    <w:rsid w:val="4E21217D"/>
    <w:rsid w:val="4E3172F5"/>
    <w:rsid w:val="4E4920A0"/>
    <w:rsid w:val="4E4A4B66"/>
    <w:rsid w:val="4E5474C6"/>
    <w:rsid w:val="4E583880"/>
    <w:rsid w:val="4E795CA2"/>
    <w:rsid w:val="4EA9229B"/>
    <w:rsid w:val="4EB956DF"/>
    <w:rsid w:val="4EBC5D29"/>
    <w:rsid w:val="4EC03F8D"/>
    <w:rsid w:val="4ECE070E"/>
    <w:rsid w:val="4ECE3EB9"/>
    <w:rsid w:val="4ECE3F11"/>
    <w:rsid w:val="4EFC48B5"/>
    <w:rsid w:val="4EFD4524"/>
    <w:rsid w:val="4F0154FC"/>
    <w:rsid w:val="4F047830"/>
    <w:rsid w:val="4F0C67DC"/>
    <w:rsid w:val="4F1351B3"/>
    <w:rsid w:val="4F225D79"/>
    <w:rsid w:val="4F234D48"/>
    <w:rsid w:val="4F3836F1"/>
    <w:rsid w:val="4F402F5F"/>
    <w:rsid w:val="4F433683"/>
    <w:rsid w:val="4F4356FA"/>
    <w:rsid w:val="4F4D2BCD"/>
    <w:rsid w:val="4F8F364C"/>
    <w:rsid w:val="4F963B1A"/>
    <w:rsid w:val="4F963F95"/>
    <w:rsid w:val="4F9D2BA8"/>
    <w:rsid w:val="4FA26CFE"/>
    <w:rsid w:val="4FAD17FE"/>
    <w:rsid w:val="4FB47B79"/>
    <w:rsid w:val="4FC630D9"/>
    <w:rsid w:val="4FC77B78"/>
    <w:rsid w:val="4FC97EDF"/>
    <w:rsid w:val="501E64CA"/>
    <w:rsid w:val="5028649F"/>
    <w:rsid w:val="502D34FD"/>
    <w:rsid w:val="5033266B"/>
    <w:rsid w:val="503374B5"/>
    <w:rsid w:val="50526482"/>
    <w:rsid w:val="5057229D"/>
    <w:rsid w:val="505B0E0E"/>
    <w:rsid w:val="505F615B"/>
    <w:rsid w:val="5060417A"/>
    <w:rsid w:val="507D286B"/>
    <w:rsid w:val="507F1D7E"/>
    <w:rsid w:val="508873D0"/>
    <w:rsid w:val="508B78EB"/>
    <w:rsid w:val="50B42EAA"/>
    <w:rsid w:val="50C3066A"/>
    <w:rsid w:val="50C3642F"/>
    <w:rsid w:val="50DC2F18"/>
    <w:rsid w:val="50E72F6F"/>
    <w:rsid w:val="50FC5A8E"/>
    <w:rsid w:val="51012102"/>
    <w:rsid w:val="510B6391"/>
    <w:rsid w:val="510F6E21"/>
    <w:rsid w:val="511238BB"/>
    <w:rsid w:val="513C4587"/>
    <w:rsid w:val="514F70C2"/>
    <w:rsid w:val="51556512"/>
    <w:rsid w:val="51581952"/>
    <w:rsid w:val="515C0CBE"/>
    <w:rsid w:val="5167761F"/>
    <w:rsid w:val="51834F44"/>
    <w:rsid w:val="51852AB4"/>
    <w:rsid w:val="518B1530"/>
    <w:rsid w:val="519B2E03"/>
    <w:rsid w:val="51E46361"/>
    <w:rsid w:val="51ED1E55"/>
    <w:rsid w:val="51F21966"/>
    <w:rsid w:val="51F25694"/>
    <w:rsid w:val="520E69D8"/>
    <w:rsid w:val="52137DCA"/>
    <w:rsid w:val="522E2855"/>
    <w:rsid w:val="523D2084"/>
    <w:rsid w:val="523E0EDB"/>
    <w:rsid w:val="523F394A"/>
    <w:rsid w:val="52427045"/>
    <w:rsid w:val="52707237"/>
    <w:rsid w:val="5289030B"/>
    <w:rsid w:val="52937E3B"/>
    <w:rsid w:val="52993543"/>
    <w:rsid w:val="529E5EDF"/>
    <w:rsid w:val="52A22327"/>
    <w:rsid w:val="52BC1A6C"/>
    <w:rsid w:val="52BF5CB7"/>
    <w:rsid w:val="52C63778"/>
    <w:rsid w:val="52C65FBF"/>
    <w:rsid w:val="52CD000D"/>
    <w:rsid w:val="52DF5110"/>
    <w:rsid w:val="52EF6035"/>
    <w:rsid w:val="52F00229"/>
    <w:rsid w:val="52F60738"/>
    <w:rsid w:val="52FB152B"/>
    <w:rsid w:val="53082767"/>
    <w:rsid w:val="53103EAA"/>
    <w:rsid w:val="531D1625"/>
    <w:rsid w:val="5327539D"/>
    <w:rsid w:val="533E18D6"/>
    <w:rsid w:val="53431D13"/>
    <w:rsid w:val="53437E79"/>
    <w:rsid w:val="53470AA1"/>
    <w:rsid w:val="53614C42"/>
    <w:rsid w:val="53722946"/>
    <w:rsid w:val="537F786A"/>
    <w:rsid w:val="53844DF8"/>
    <w:rsid w:val="539076EA"/>
    <w:rsid w:val="539B543F"/>
    <w:rsid w:val="53CA21E4"/>
    <w:rsid w:val="53D76E9C"/>
    <w:rsid w:val="53E17DDC"/>
    <w:rsid w:val="53F37D76"/>
    <w:rsid w:val="541A372E"/>
    <w:rsid w:val="54202F16"/>
    <w:rsid w:val="54252276"/>
    <w:rsid w:val="54253A70"/>
    <w:rsid w:val="542727D5"/>
    <w:rsid w:val="543D4D9A"/>
    <w:rsid w:val="545460D4"/>
    <w:rsid w:val="54753A97"/>
    <w:rsid w:val="547F0CC9"/>
    <w:rsid w:val="54892F9F"/>
    <w:rsid w:val="54934F00"/>
    <w:rsid w:val="54AC5F67"/>
    <w:rsid w:val="54B04690"/>
    <w:rsid w:val="54CA4B6D"/>
    <w:rsid w:val="54E13A4C"/>
    <w:rsid w:val="54E573CC"/>
    <w:rsid w:val="54E77519"/>
    <w:rsid w:val="54EC6E6E"/>
    <w:rsid w:val="54F21C4E"/>
    <w:rsid w:val="54F74DC4"/>
    <w:rsid w:val="55015EEE"/>
    <w:rsid w:val="5502526C"/>
    <w:rsid w:val="55154961"/>
    <w:rsid w:val="55180BDE"/>
    <w:rsid w:val="55186CDC"/>
    <w:rsid w:val="552635EE"/>
    <w:rsid w:val="553B5EF7"/>
    <w:rsid w:val="553F7E78"/>
    <w:rsid w:val="55570499"/>
    <w:rsid w:val="55581C5D"/>
    <w:rsid w:val="55591A91"/>
    <w:rsid w:val="55636578"/>
    <w:rsid w:val="55667F7A"/>
    <w:rsid w:val="557B0944"/>
    <w:rsid w:val="557D34F5"/>
    <w:rsid w:val="55901118"/>
    <w:rsid w:val="55A30D23"/>
    <w:rsid w:val="55B04680"/>
    <w:rsid w:val="55B15B69"/>
    <w:rsid w:val="55BB0D24"/>
    <w:rsid w:val="55BC3506"/>
    <w:rsid w:val="55C2700D"/>
    <w:rsid w:val="561C4DC5"/>
    <w:rsid w:val="56257A48"/>
    <w:rsid w:val="562D2FDE"/>
    <w:rsid w:val="56337324"/>
    <w:rsid w:val="56382E21"/>
    <w:rsid w:val="566B2E43"/>
    <w:rsid w:val="56783246"/>
    <w:rsid w:val="568A258A"/>
    <w:rsid w:val="568F2460"/>
    <w:rsid w:val="56963B46"/>
    <w:rsid w:val="56964DE1"/>
    <w:rsid w:val="5699555C"/>
    <w:rsid w:val="569A3C4D"/>
    <w:rsid w:val="56A53244"/>
    <w:rsid w:val="56B92387"/>
    <w:rsid w:val="56C4493D"/>
    <w:rsid w:val="56C76699"/>
    <w:rsid w:val="56CD0E96"/>
    <w:rsid w:val="56CF3257"/>
    <w:rsid w:val="56E45747"/>
    <w:rsid w:val="56FC7AE5"/>
    <w:rsid w:val="57064D17"/>
    <w:rsid w:val="571045B9"/>
    <w:rsid w:val="572C22FF"/>
    <w:rsid w:val="573026FE"/>
    <w:rsid w:val="5731334B"/>
    <w:rsid w:val="573B368F"/>
    <w:rsid w:val="574850A2"/>
    <w:rsid w:val="574E06B9"/>
    <w:rsid w:val="57546E3F"/>
    <w:rsid w:val="57546E5A"/>
    <w:rsid w:val="57642183"/>
    <w:rsid w:val="576C12FB"/>
    <w:rsid w:val="57722731"/>
    <w:rsid w:val="5775648F"/>
    <w:rsid w:val="57A2452D"/>
    <w:rsid w:val="57AB4789"/>
    <w:rsid w:val="57BE4D4A"/>
    <w:rsid w:val="57C05A7D"/>
    <w:rsid w:val="57CC3C2C"/>
    <w:rsid w:val="57DA49FF"/>
    <w:rsid w:val="57F80240"/>
    <w:rsid w:val="57FB6C62"/>
    <w:rsid w:val="57FD3096"/>
    <w:rsid w:val="581C6C3C"/>
    <w:rsid w:val="582D4AFC"/>
    <w:rsid w:val="583C16E2"/>
    <w:rsid w:val="58420046"/>
    <w:rsid w:val="58476C12"/>
    <w:rsid w:val="58481600"/>
    <w:rsid w:val="584D1B2E"/>
    <w:rsid w:val="585D2F6F"/>
    <w:rsid w:val="58911503"/>
    <w:rsid w:val="589F107B"/>
    <w:rsid w:val="58C85228"/>
    <w:rsid w:val="58D65AEA"/>
    <w:rsid w:val="58EE3BA2"/>
    <w:rsid w:val="58F01F48"/>
    <w:rsid w:val="58F415CB"/>
    <w:rsid w:val="59150857"/>
    <w:rsid w:val="59340EC3"/>
    <w:rsid w:val="5954586A"/>
    <w:rsid w:val="59632F69"/>
    <w:rsid w:val="59637AE8"/>
    <w:rsid w:val="59656ABF"/>
    <w:rsid w:val="596A65BD"/>
    <w:rsid w:val="597417FE"/>
    <w:rsid w:val="59791671"/>
    <w:rsid w:val="597F7BBE"/>
    <w:rsid w:val="598A751F"/>
    <w:rsid w:val="599D4330"/>
    <w:rsid w:val="599D75E1"/>
    <w:rsid w:val="59BD63C1"/>
    <w:rsid w:val="59D00405"/>
    <w:rsid w:val="59D9107C"/>
    <w:rsid w:val="59E74458"/>
    <w:rsid w:val="59EB3CB0"/>
    <w:rsid w:val="59F76E6F"/>
    <w:rsid w:val="5A061084"/>
    <w:rsid w:val="5A0C355C"/>
    <w:rsid w:val="5A121FA9"/>
    <w:rsid w:val="5A1945FA"/>
    <w:rsid w:val="5A1B508A"/>
    <w:rsid w:val="5A1D03BD"/>
    <w:rsid w:val="5A24597D"/>
    <w:rsid w:val="5A251B58"/>
    <w:rsid w:val="5A2559BE"/>
    <w:rsid w:val="5A291617"/>
    <w:rsid w:val="5A376EA9"/>
    <w:rsid w:val="5A3A778B"/>
    <w:rsid w:val="5A3C1C7A"/>
    <w:rsid w:val="5A445B3F"/>
    <w:rsid w:val="5A572C6C"/>
    <w:rsid w:val="5A5E3CF7"/>
    <w:rsid w:val="5A7A4881"/>
    <w:rsid w:val="5A7F292E"/>
    <w:rsid w:val="5A8A6EC0"/>
    <w:rsid w:val="5AA36188"/>
    <w:rsid w:val="5AAC0A2F"/>
    <w:rsid w:val="5AAC6D6A"/>
    <w:rsid w:val="5AAF2D14"/>
    <w:rsid w:val="5AB5147D"/>
    <w:rsid w:val="5AB918C2"/>
    <w:rsid w:val="5AC45774"/>
    <w:rsid w:val="5AC8151E"/>
    <w:rsid w:val="5AEA0C69"/>
    <w:rsid w:val="5AEA0E90"/>
    <w:rsid w:val="5B05120C"/>
    <w:rsid w:val="5B0A39C6"/>
    <w:rsid w:val="5B0B099D"/>
    <w:rsid w:val="5B0E03DF"/>
    <w:rsid w:val="5B166560"/>
    <w:rsid w:val="5B2E1B41"/>
    <w:rsid w:val="5B2E2BB8"/>
    <w:rsid w:val="5B426238"/>
    <w:rsid w:val="5B4E73A4"/>
    <w:rsid w:val="5B4F2180"/>
    <w:rsid w:val="5B510427"/>
    <w:rsid w:val="5B664D17"/>
    <w:rsid w:val="5B6F79C1"/>
    <w:rsid w:val="5B7E087F"/>
    <w:rsid w:val="5B8A2BA1"/>
    <w:rsid w:val="5B99388D"/>
    <w:rsid w:val="5BAB1073"/>
    <w:rsid w:val="5BAC5207"/>
    <w:rsid w:val="5BBE0BE5"/>
    <w:rsid w:val="5BC446A5"/>
    <w:rsid w:val="5BC929A4"/>
    <w:rsid w:val="5BDA4394"/>
    <w:rsid w:val="5BE2156C"/>
    <w:rsid w:val="5BE61A1E"/>
    <w:rsid w:val="5BF67B1C"/>
    <w:rsid w:val="5BFD3550"/>
    <w:rsid w:val="5C05235D"/>
    <w:rsid w:val="5C0F61CB"/>
    <w:rsid w:val="5C1318BB"/>
    <w:rsid w:val="5C144BFC"/>
    <w:rsid w:val="5C1F51CD"/>
    <w:rsid w:val="5C391B55"/>
    <w:rsid w:val="5C420AB1"/>
    <w:rsid w:val="5C45341B"/>
    <w:rsid w:val="5C5452E8"/>
    <w:rsid w:val="5C5D7904"/>
    <w:rsid w:val="5C7777DD"/>
    <w:rsid w:val="5C7F77F2"/>
    <w:rsid w:val="5C955903"/>
    <w:rsid w:val="5C9D0A5C"/>
    <w:rsid w:val="5CAA155A"/>
    <w:rsid w:val="5CDD1A71"/>
    <w:rsid w:val="5CE622CD"/>
    <w:rsid w:val="5CE62D57"/>
    <w:rsid w:val="5D166B99"/>
    <w:rsid w:val="5D184CCE"/>
    <w:rsid w:val="5D3B196E"/>
    <w:rsid w:val="5D40335C"/>
    <w:rsid w:val="5D534B57"/>
    <w:rsid w:val="5D606469"/>
    <w:rsid w:val="5D6607CA"/>
    <w:rsid w:val="5D6808B8"/>
    <w:rsid w:val="5D6948DF"/>
    <w:rsid w:val="5D7E746D"/>
    <w:rsid w:val="5D8D78DB"/>
    <w:rsid w:val="5DA51431"/>
    <w:rsid w:val="5DAC12ED"/>
    <w:rsid w:val="5DB2378E"/>
    <w:rsid w:val="5DB307DC"/>
    <w:rsid w:val="5DB35A49"/>
    <w:rsid w:val="5DBD4B48"/>
    <w:rsid w:val="5DBE28E4"/>
    <w:rsid w:val="5DDA2F20"/>
    <w:rsid w:val="5DE671D0"/>
    <w:rsid w:val="5DF06943"/>
    <w:rsid w:val="5DF47F70"/>
    <w:rsid w:val="5E0931AB"/>
    <w:rsid w:val="5E1135AB"/>
    <w:rsid w:val="5E1350C2"/>
    <w:rsid w:val="5E197F2E"/>
    <w:rsid w:val="5E1B4890"/>
    <w:rsid w:val="5E38591D"/>
    <w:rsid w:val="5E690D03"/>
    <w:rsid w:val="5E92257A"/>
    <w:rsid w:val="5E922CBC"/>
    <w:rsid w:val="5E98330F"/>
    <w:rsid w:val="5EA14FAD"/>
    <w:rsid w:val="5EAA6F70"/>
    <w:rsid w:val="5EB214A3"/>
    <w:rsid w:val="5ECC72A1"/>
    <w:rsid w:val="5ED441B0"/>
    <w:rsid w:val="5ED82EB0"/>
    <w:rsid w:val="5EDB375F"/>
    <w:rsid w:val="5EE41BA3"/>
    <w:rsid w:val="5EEB63F1"/>
    <w:rsid w:val="5EF618AB"/>
    <w:rsid w:val="5EF82A81"/>
    <w:rsid w:val="5F055078"/>
    <w:rsid w:val="5F083033"/>
    <w:rsid w:val="5F0D3A0C"/>
    <w:rsid w:val="5F181F90"/>
    <w:rsid w:val="5F1D2DA2"/>
    <w:rsid w:val="5F26798B"/>
    <w:rsid w:val="5F3C487A"/>
    <w:rsid w:val="5F4404D2"/>
    <w:rsid w:val="5F487A80"/>
    <w:rsid w:val="5F5720D3"/>
    <w:rsid w:val="5F606885"/>
    <w:rsid w:val="5F640055"/>
    <w:rsid w:val="5F6867D1"/>
    <w:rsid w:val="5F6B6A8C"/>
    <w:rsid w:val="5F883295"/>
    <w:rsid w:val="5F8D034A"/>
    <w:rsid w:val="5F9031A4"/>
    <w:rsid w:val="5F91596D"/>
    <w:rsid w:val="5FC169B8"/>
    <w:rsid w:val="5FCB3477"/>
    <w:rsid w:val="5FD2611C"/>
    <w:rsid w:val="5FEF1CB2"/>
    <w:rsid w:val="5FF16CFB"/>
    <w:rsid w:val="600528EE"/>
    <w:rsid w:val="600D415B"/>
    <w:rsid w:val="600E4881"/>
    <w:rsid w:val="60251B91"/>
    <w:rsid w:val="602A647D"/>
    <w:rsid w:val="60341B7C"/>
    <w:rsid w:val="60601DBE"/>
    <w:rsid w:val="606E704F"/>
    <w:rsid w:val="60803AC5"/>
    <w:rsid w:val="608309EF"/>
    <w:rsid w:val="60AE3BA5"/>
    <w:rsid w:val="60B252B6"/>
    <w:rsid w:val="60BC636C"/>
    <w:rsid w:val="60C34200"/>
    <w:rsid w:val="60CE307A"/>
    <w:rsid w:val="60D15A30"/>
    <w:rsid w:val="60DD1A9D"/>
    <w:rsid w:val="60DD44C4"/>
    <w:rsid w:val="60E405DB"/>
    <w:rsid w:val="60E6478B"/>
    <w:rsid w:val="60E75FDE"/>
    <w:rsid w:val="60E771C4"/>
    <w:rsid w:val="60ED52E1"/>
    <w:rsid w:val="60F1651A"/>
    <w:rsid w:val="6108336F"/>
    <w:rsid w:val="61283CA2"/>
    <w:rsid w:val="6139267B"/>
    <w:rsid w:val="614630B4"/>
    <w:rsid w:val="6147700E"/>
    <w:rsid w:val="614E6125"/>
    <w:rsid w:val="6151758C"/>
    <w:rsid w:val="61586D87"/>
    <w:rsid w:val="616235BB"/>
    <w:rsid w:val="61827604"/>
    <w:rsid w:val="618B1914"/>
    <w:rsid w:val="61967F2B"/>
    <w:rsid w:val="61A53317"/>
    <w:rsid w:val="61A718A5"/>
    <w:rsid w:val="61AD2A2E"/>
    <w:rsid w:val="61DF7F8C"/>
    <w:rsid w:val="61E06D8A"/>
    <w:rsid w:val="61E97F6A"/>
    <w:rsid w:val="620F113A"/>
    <w:rsid w:val="6210224C"/>
    <w:rsid w:val="62287BC3"/>
    <w:rsid w:val="622B457A"/>
    <w:rsid w:val="626B08B9"/>
    <w:rsid w:val="62721EBF"/>
    <w:rsid w:val="627F65E4"/>
    <w:rsid w:val="628C2A3F"/>
    <w:rsid w:val="62BD1D45"/>
    <w:rsid w:val="62C509E1"/>
    <w:rsid w:val="62DA65FB"/>
    <w:rsid w:val="62E16620"/>
    <w:rsid w:val="62EE400F"/>
    <w:rsid w:val="62FB1B90"/>
    <w:rsid w:val="631162D5"/>
    <w:rsid w:val="63296F84"/>
    <w:rsid w:val="633A2A2C"/>
    <w:rsid w:val="633D435F"/>
    <w:rsid w:val="63421143"/>
    <w:rsid w:val="6348132F"/>
    <w:rsid w:val="634F1479"/>
    <w:rsid w:val="635760BD"/>
    <w:rsid w:val="638F1BA3"/>
    <w:rsid w:val="63963D65"/>
    <w:rsid w:val="63973D0A"/>
    <w:rsid w:val="639B246A"/>
    <w:rsid w:val="63A314F5"/>
    <w:rsid w:val="63B04A81"/>
    <w:rsid w:val="63B31245"/>
    <w:rsid w:val="63BD025B"/>
    <w:rsid w:val="63BD190E"/>
    <w:rsid w:val="63DC4761"/>
    <w:rsid w:val="63E4332D"/>
    <w:rsid w:val="63E87491"/>
    <w:rsid w:val="63F551E9"/>
    <w:rsid w:val="63FC4604"/>
    <w:rsid w:val="64010057"/>
    <w:rsid w:val="64286BF1"/>
    <w:rsid w:val="644E77B2"/>
    <w:rsid w:val="64507319"/>
    <w:rsid w:val="64571E5D"/>
    <w:rsid w:val="645A3258"/>
    <w:rsid w:val="64601F8D"/>
    <w:rsid w:val="646B708D"/>
    <w:rsid w:val="647B2698"/>
    <w:rsid w:val="647C452C"/>
    <w:rsid w:val="64852275"/>
    <w:rsid w:val="64870F98"/>
    <w:rsid w:val="64894F42"/>
    <w:rsid w:val="649722BF"/>
    <w:rsid w:val="649F570B"/>
    <w:rsid w:val="64AC6C11"/>
    <w:rsid w:val="64C515B2"/>
    <w:rsid w:val="64C65041"/>
    <w:rsid w:val="64C9567C"/>
    <w:rsid w:val="64D83194"/>
    <w:rsid w:val="64D85A6C"/>
    <w:rsid w:val="64D9104D"/>
    <w:rsid w:val="64FD0B4C"/>
    <w:rsid w:val="65094162"/>
    <w:rsid w:val="651702D2"/>
    <w:rsid w:val="652206D5"/>
    <w:rsid w:val="652A34F9"/>
    <w:rsid w:val="653616DD"/>
    <w:rsid w:val="653F3DF5"/>
    <w:rsid w:val="6561142B"/>
    <w:rsid w:val="656446E8"/>
    <w:rsid w:val="657413A9"/>
    <w:rsid w:val="65A65991"/>
    <w:rsid w:val="65A73906"/>
    <w:rsid w:val="65B1685C"/>
    <w:rsid w:val="65D852C9"/>
    <w:rsid w:val="65EC7FC8"/>
    <w:rsid w:val="65ED5BEC"/>
    <w:rsid w:val="65F436A8"/>
    <w:rsid w:val="661F61D3"/>
    <w:rsid w:val="66372D10"/>
    <w:rsid w:val="663A6AC3"/>
    <w:rsid w:val="66566648"/>
    <w:rsid w:val="66654F38"/>
    <w:rsid w:val="666B469D"/>
    <w:rsid w:val="66944676"/>
    <w:rsid w:val="66AF595A"/>
    <w:rsid w:val="66B83348"/>
    <w:rsid w:val="66BF0F5A"/>
    <w:rsid w:val="66BF1B86"/>
    <w:rsid w:val="66CB1F39"/>
    <w:rsid w:val="66D0308E"/>
    <w:rsid w:val="673C60F4"/>
    <w:rsid w:val="67620525"/>
    <w:rsid w:val="676B265C"/>
    <w:rsid w:val="676C1B3F"/>
    <w:rsid w:val="67765F6B"/>
    <w:rsid w:val="67804673"/>
    <w:rsid w:val="679C6193"/>
    <w:rsid w:val="67A022EE"/>
    <w:rsid w:val="67CA528B"/>
    <w:rsid w:val="67CD7BB9"/>
    <w:rsid w:val="67E64C41"/>
    <w:rsid w:val="67F43825"/>
    <w:rsid w:val="680D6D97"/>
    <w:rsid w:val="6815483C"/>
    <w:rsid w:val="68327C32"/>
    <w:rsid w:val="684A2BAC"/>
    <w:rsid w:val="685408EC"/>
    <w:rsid w:val="685A235B"/>
    <w:rsid w:val="685B6DB3"/>
    <w:rsid w:val="685E65EE"/>
    <w:rsid w:val="686819AB"/>
    <w:rsid w:val="687356D6"/>
    <w:rsid w:val="68745DB8"/>
    <w:rsid w:val="68797137"/>
    <w:rsid w:val="688D6F9B"/>
    <w:rsid w:val="68906A4F"/>
    <w:rsid w:val="68912AEB"/>
    <w:rsid w:val="68A61F7C"/>
    <w:rsid w:val="68AE046B"/>
    <w:rsid w:val="68B6436A"/>
    <w:rsid w:val="68B808C6"/>
    <w:rsid w:val="68C12568"/>
    <w:rsid w:val="68C37A9C"/>
    <w:rsid w:val="68D34364"/>
    <w:rsid w:val="68D5272B"/>
    <w:rsid w:val="68DA08E3"/>
    <w:rsid w:val="68E12858"/>
    <w:rsid w:val="68E22B44"/>
    <w:rsid w:val="68E565F6"/>
    <w:rsid w:val="68E83B31"/>
    <w:rsid w:val="68FA6CC7"/>
    <w:rsid w:val="68FC70E2"/>
    <w:rsid w:val="691C525C"/>
    <w:rsid w:val="69261C3E"/>
    <w:rsid w:val="692A5148"/>
    <w:rsid w:val="693771C4"/>
    <w:rsid w:val="693B4221"/>
    <w:rsid w:val="69566E97"/>
    <w:rsid w:val="6960715F"/>
    <w:rsid w:val="69674ACF"/>
    <w:rsid w:val="69872976"/>
    <w:rsid w:val="699949DA"/>
    <w:rsid w:val="699E3176"/>
    <w:rsid w:val="69A777A6"/>
    <w:rsid w:val="69B962E3"/>
    <w:rsid w:val="69C25B59"/>
    <w:rsid w:val="69C66359"/>
    <w:rsid w:val="69E53A9B"/>
    <w:rsid w:val="69E55138"/>
    <w:rsid w:val="69E97C37"/>
    <w:rsid w:val="69FE176D"/>
    <w:rsid w:val="6A07186C"/>
    <w:rsid w:val="6A09143A"/>
    <w:rsid w:val="6A0F20B8"/>
    <w:rsid w:val="6A256281"/>
    <w:rsid w:val="6A274628"/>
    <w:rsid w:val="6A3C476A"/>
    <w:rsid w:val="6A3C6323"/>
    <w:rsid w:val="6A44028F"/>
    <w:rsid w:val="6A49296B"/>
    <w:rsid w:val="6A4D3E01"/>
    <w:rsid w:val="6A5D52B0"/>
    <w:rsid w:val="6A657C6F"/>
    <w:rsid w:val="6A6A7B37"/>
    <w:rsid w:val="6A88683C"/>
    <w:rsid w:val="6A8D23A3"/>
    <w:rsid w:val="6A9D50E2"/>
    <w:rsid w:val="6A9E01F5"/>
    <w:rsid w:val="6AA204AE"/>
    <w:rsid w:val="6AA83A3C"/>
    <w:rsid w:val="6AB36045"/>
    <w:rsid w:val="6AB72189"/>
    <w:rsid w:val="6AB96E22"/>
    <w:rsid w:val="6ABA5A69"/>
    <w:rsid w:val="6AC5799D"/>
    <w:rsid w:val="6AC901E4"/>
    <w:rsid w:val="6AE07A5B"/>
    <w:rsid w:val="6AF32715"/>
    <w:rsid w:val="6B0649AD"/>
    <w:rsid w:val="6B1560E3"/>
    <w:rsid w:val="6B1B7642"/>
    <w:rsid w:val="6B2230ED"/>
    <w:rsid w:val="6B2426DC"/>
    <w:rsid w:val="6B260E67"/>
    <w:rsid w:val="6B2D20F3"/>
    <w:rsid w:val="6B7822B2"/>
    <w:rsid w:val="6B7A57EB"/>
    <w:rsid w:val="6B9075D2"/>
    <w:rsid w:val="6BA51A16"/>
    <w:rsid w:val="6BB06E58"/>
    <w:rsid w:val="6BB730DC"/>
    <w:rsid w:val="6BC04255"/>
    <w:rsid w:val="6BD601C0"/>
    <w:rsid w:val="6BDC75B1"/>
    <w:rsid w:val="6BF135C5"/>
    <w:rsid w:val="6C034C32"/>
    <w:rsid w:val="6C0B63D8"/>
    <w:rsid w:val="6C297018"/>
    <w:rsid w:val="6C2B29B1"/>
    <w:rsid w:val="6C2D1DF3"/>
    <w:rsid w:val="6C310680"/>
    <w:rsid w:val="6C3427F7"/>
    <w:rsid w:val="6C354FA8"/>
    <w:rsid w:val="6C4B7089"/>
    <w:rsid w:val="6C513725"/>
    <w:rsid w:val="6C6A61E2"/>
    <w:rsid w:val="6C775567"/>
    <w:rsid w:val="6C7B728D"/>
    <w:rsid w:val="6C9E2243"/>
    <w:rsid w:val="6CA75E2E"/>
    <w:rsid w:val="6CBB1B57"/>
    <w:rsid w:val="6CBB3F46"/>
    <w:rsid w:val="6CC54B8C"/>
    <w:rsid w:val="6CC87A10"/>
    <w:rsid w:val="6CD24FA0"/>
    <w:rsid w:val="6CDF2F1E"/>
    <w:rsid w:val="6CE2373C"/>
    <w:rsid w:val="6CE94F41"/>
    <w:rsid w:val="6CF70BA2"/>
    <w:rsid w:val="6D083435"/>
    <w:rsid w:val="6D28570E"/>
    <w:rsid w:val="6D2B7A11"/>
    <w:rsid w:val="6D3428C8"/>
    <w:rsid w:val="6D367A7F"/>
    <w:rsid w:val="6D4356C2"/>
    <w:rsid w:val="6D577517"/>
    <w:rsid w:val="6D8258CD"/>
    <w:rsid w:val="6D855475"/>
    <w:rsid w:val="6D8724D1"/>
    <w:rsid w:val="6D8C24D0"/>
    <w:rsid w:val="6D9374E6"/>
    <w:rsid w:val="6DB93B5E"/>
    <w:rsid w:val="6DB96980"/>
    <w:rsid w:val="6DBD4144"/>
    <w:rsid w:val="6DBE70FB"/>
    <w:rsid w:val="6DCF5C2C"/>
    <w:rsid w:val="6DD42404"/>
    <w:rsid w:val="6DD7746D"/>
    <w:rsid w:val="6DE52353"/>
    <w:rsid w:val="6DF176D5"/>
    <w:rsid w:val="6DFC1406"/>
    <w:rsid w:val="6E0E16CD"/>
    <w:rsid w:val="6E1C41C3"/>
    <w:rsid w:val="6E3238DF"/>
    <w:rsid w:val="6E4018B8"/>
    <w:rsid w:val="6E67665E"/>
    <w:rsid w:val="6E755B9F"/>
    <w:rsid w:val="6E7E074A"/>
    <w:rsid w:val="6E833FF8"/>
    <w:rsid w:val="6E944750"/>
    <w:rsid w:val="6E994497"/>
    <w:rsid w:val="6EA375FF"/>
    <w:rsid w:val="6ECA6ED6"/>
    <w:rsid w:val="6ECD1E44"/>
    <w:rsid w:val="6ECE4B69"/>
    <w:rsid w:val="6ED675F7"/>
    <w:rsid w:val="6EF25653"/>
    <w:rsid w:val="6EFA65B8"/>
    <w:rsid w:val="6F067B66"/>
    <w:rsid w:val="6F082A9F"/>
    <w:rsid w:val="6F125FFD"/>
    <w:rsid w:val="6F286D2C"/>
    <w:rsid w:val="6F2A7593"/>
    <w:rsid w:val="6F310D19"/>
    <w:rsid w:val="6F3457E4"/>
    <w:rsid w:val="6F3F4A52"/>
    <w:rsid w:val="6F41749A"/>
    <w:rsid w:val="6F445AA4"/>
    <w:rsid w:val="6F484A48"/>
    <w:rsid w:val="6F546490"/>
    <w:rsid w:val="6F54691D"/>
    <w:rsid w:val="6F7129FE"/>
    <w:rsid w:val="6F736F08"/>
    <w:rsid w:val="6F7E5F42"/>
    <w:rsid w:val="6F8A03FA"/>
    <w:rsid w:val="6F8C0BA3"/>
    <w:rsid w:val="6F8F422C"/>
    <w:rsid w:val="6F906D39"/>
    <w:rsid w:val="6F9E46B3"/>
    <w:rsid w:val="6FAC5887"/>
    <w:rsid w:val="6FB41311"/>
    <w:rsid w:val="6FBB754B"/>
    <w:rsid w:val="6FBD0E32"/>
    <w:rsid w:val="6FC64DA9"/>
    <w:rsid w:val="6FC804C2"/>
    <w:rsid w:val="6FD82F0D"/>
    <w:rsid w:val="6FF119B0"/>
    <w:rsid w:val="6FFA0966"/>
    <w:rsid w:val="6FFD6CC1"/>
    <w:rsid w:val="6FFD7609"/>
    <w:rsid w:val="6FFE253A"/>
    <w:rsid w:val="70001959"/>
    <w:rsid w:val="70024E5B"/>
    <w:rsid w:val="700D7AC3"/>
    <w:rsid w:val="7011565C"/>
    <w:rsid w:val="70195BD3"/>
    <w:rsid w:val="70196959"/>
    <w:rsid w:val="70307AD7"/>
    <w:rsid w:val="70515EAE"/>
    <w:rsid w:val="70574EC8"/>
    <w:rsid w:val="70581E57"/>
    <w:rsid w:val="705A7DE7"/>
    <w:rsid w:val="706863A2"/>
    <w:rsid w:val="70991CC4"/>
    <w:rsid w:val="70B45A29"/>
    <w:rsid w:val="70C5425D"/>
    <w:rsid w:val="70CC2796"/>
    <w:rsid w:val="710077E0"/>
    <w:rsid w:val="71013FC7"/>
    <w:rsid w:val="71035AEF"/>
    <w:rsid w:val="710C6832"/>
    <w:rsid w:val="71115684"/>
    <w:rsid w:val="711604E0"/>
    <w:rsid w:val="711C5711"/>
    <w:rsid w:val="71293129"/>
    <w:rsid w:val="712B7FF6"/>
    <w:rsid w:val="71351EA1"/>
    <w:rsid w:val="7155100B"/>
    <w:rsid w:val="7156502F"/>
    <w:rsid w:val="715D229F"/>
    <w:rsid w:val="71794DDC"/>
    <w:rsid w:val="717A6E2E"/>
    <w:rsid w:val="717B5E04"/>
    <w:rsid w:val="717F208F"/>
    <w:rsid w:val="719614D2"/>
    <w:rsid w:val="71A36ECC"/>
    <w:rsid w:val="71A848C5"/>
    <w:rsid w:val="71B3761E"/>
    <w:rsid w:val="71DC145C"/>
    <w:rsid w:val="71E40DFB"/>
    <w:rsid w:val="71E67343"/>
    <w:rsid w:val="71E74A85"/>
    <w:rsid w:val="71E8468C"/>
    <w:rsid w:val="71E873C1"/>
    <w:rsid w:val="71EC44C5"/>
    <w:rsid w:val="71EF1153"/>
    <w:rsid w:val="72142A2E"/>
    <w:rsid w:val="721B7222"/>
    <w:rsid w:val="72273201"/>
    <w:rsid w:val="72353AA0"/>
    <w:rsid w:val="7252346C"/>
    <w:rsid w:val="72662D13"/>
    <w:rsid w:val="726E508E"/>
    <w:rsid w:val="727B09C3"/>
    <w:rsid w:val="72812342"/>
    <w:rsid w:val="72836A18"/>
    <w:rsid w:val="72886BA5"/>
    <w:rsid w:val="7289184E"/>
    <w:rsid w:val="72B06F9D"/>
    <w:rsid w:val="72BB78E2"/>
    <w:rsid w:val="72BC4EE0"/>
    <w:rsid w:val="72C50820"/>
    <w:rsid w:val="72C824A1"/>
    <w:rsid w:val="72DC172E"/>
    <w:rsid w:val="72E25C9C"/>
    <w:rsid w:val="72E42088"/>
    <w:rsid w:val="72F04665"/>
    <w:rsid w:val="72FE0E18"/>
    <w:rsid w:val="73027F6A"/>
    <w:rsid w:val="7307399F"/>
    <w:rsid w:val="730E41AD"/>
    <w:rsid w:val="731A56E0"/>
    <w:rsid w:val="732049FC"/>
    <w:rsid w:val="73250CBC"/>
    <w:rsid w:val="7328230C"/>
    <w:rsid w:val="733A38A2"/>
    <w:rsid w:val="734B0B4E"/>
    <w:rsid w:val="735012FD"/>
    <w:rsid w:val="735D5F1F"/>
    <w:rsid w:val="735E599A"/>
    <w:rsid w:val="735F43A2"/>
    <w:rsid w:val="736774C7"/>
    <w:rsid w:val="736970CB"/>
    <w:rsid w:val="736D17C9"/>
    <w:rsid w:val="73710509"/>
    <w:rsid w:val="7378252B"/>
    <w:rsid w:val="737C3C1F"/>
    <w:rsid w:val="739E16B5"/>
    <w:rsid w:val="73AD2D04"/>
    <w:rsid w:val="73B06D94"/>
    <w:rsid w:val="73C27BB0"/>
    <w:rsid w:val="73C60675"/>
    <w:rsid w:val="73C93635"/>
    <w:rsid w:val="73D5365A"/>
    <w:rsid w:val="73E158A1"/>
    <w:rsid w:val="73EB0AA9"/>
    <w:rsid w:val="73FE1F13"/>
    <w:rsid w:val="74041FB2"/>
    <w:rsid w:val="74042D00"/>
    <w:rsid w:val="74173016"/>
    <w:rsid w:val="7420137C"/>
    <w:rsid w:val="74282A2C"/>
    <w:rsid w:val="74302C44"/>
    <w:rsid w:val="74484CC5"/>
    <w:rsid w:val="7449100D"/>
    <w:rsid w:val="745E1C46"/>
    <w:rsid w:val="746707B2"/>
    <w:rsid w:val="746A2CAE"/>
    <w:rsid w:val="747170F5"/>
    <w:rsid w:val="74823FA2"/>
    <w:rsid w:val="74847026"/>
    <w:rsid w:val="748552AD"/>
    <w:rsid w:val="74857F92"/>
    <w:rsid w:val="7492576C"/>
    <w:rsid w:val="749A011C"/>
    <w:rsid w:val="749B5E3E"/>
    <w:rsid w:val="74BA4676"/>
    <w:rsid w:val="74C83517"/>
    <w:rsid w:val="74CA64C5"/>
    <w:rsid w:val="750477DB"/>
    <w:rsid w:val="751D6994"/>
    <w:rsid w:val="75294EC3"/>
    <w:rsid w:val="75303FA3"/>
    <w:rsid w:val="753D0DC1"/>
    <w:rsid w:val="7548084D"/>
    <w:rsid w:val="756A41AA"/>
    <w:rsid w:val="757B0C37"/>
    <w:rsid w:val="758618B5"/>
    <w:rsid w:val="758D2EF8"/>
    <w:rsid w:val="759D3BD4"/>
    <w:rsid w:val="75A86C19"/>
    <w:rsid w:val="75AB435A"/>
    <w:rsid w:val="75C15F1E"/>
    <w:rsid w:val="75C37409"/>
    <w:rsid w:val="75D04AB5"/>
    <w:rsid w:val="75DE6B5E"/>
    <w:rsid w:val="75EE7AEA"/>
    <w:rsid w:val="761407D1"/>
    <w:rsid w:val="76161A2E"/>
    <w:rsid w:val="761930C8"/>
    <w:rsid w:val="761B10D7"/>
    <w:rsid w:val="762B6D5E"/>
    <w:rsid w:val="762E185C"/>
    <w:rsid w:val="762F4CB3"/>
    <w:rsid w:val="763B0EF5"/>
    <w:rsid w:val="76411CCB"/>
    <w:rsid w:val="764150F0"/>
    <w:rsid w:val="7648745D"/>
    <w:rsid w:val="766C7B29"/>
    <w:rsid w:val="76783A5F"/>
    <w:rsid w:val="76840B46"/>
    <w:rsid w:val="768C3D52"/>
    <w:rsid w:val="768C51C7"/>
    <w:rsid w:val="768D40B1"/>
    <w:rsid w:val="76932F07"/>
    <w:rsid w:val="7698142C"/>
    <w:rsid w:val="769E4BB7"/>
    <w:rsid w:val="76A44C9B"/>
    <w:rsid w:val="76AF6650"/>
    <w:rsid w:val="76C057F9"/>
    <w:rsid w:val="76C85C3C"/>
    <w:rsid w:val="76F228E6"/>
    <w:rsid w:val="76F314A1"/>
    <w:rsid w:val="76F71B90"/>
    <w:rsid w:val="77066C77"/>
    <w:rsid w:val="770E3E24"/>
    <w:rsid w:val="771E660A"/>
    <w:rsid w:val="7728541F"/>
    <w:rsid w:val="772C55EA"/>
    <w:rsid w:val="773532AE"/>
    <w:rsid w:val="773C64CA"/>
    <w:rsid w:val="77477F4B"/>
    <w:rsid w:val="775D283E"/>
    <w:rsid w:val="775E31D5"/>
    <w:rsid w:val="776B6843"/>
    <w:rsid w:val="778A51E6"/>
    <w:rsid w:val="779855DA"/>
    <w:rsid w:val="779E7C37"/>
    <w:rsid w:val="77A21051"/>
    <w:rsid w:val="77AD75D7"/>
    <w:rsid w:val="77B656E3"/>
    <w:rsid w:val="77BC048B"/>
    <w:rsid w:val="77CB149E"/>
    <w:rsid w:val="77D2259F"/>
    <w:rsid w:val="77DC7F14"/>
    <w:rsid w:val="77DE6505"/>
    <w:rsid w:val="77E015FE"/>
    <w:rsid w:val="77F07675"/>
    <w:rsid w:val="78054F39"/>
    <w:rsid w:val="7808083B"/>
    <w:rsid w:val="78163006"/>
    <w:rsid w:val="782E3711"/>
    <w:rsid w:val="782F25FF"/>
    <w:rsid w:val="78350CF0"/>
    <w:rsid w:val="78510F47"/>
    <w:rsid w:val="786343C8"/>
    <w:rsid w:val="78634E74"/>
    <w:rsid w:val="78635E4D"/>
    <w:rsid w:val="7871370E"/>
    <w:rsid w:val="787A56B6"/>
    <w:rsid w:val="787B3ED9"/>
    <w:rsid w:val="788B130D"/>
    <w:rsid w:val="788E51C2"/>
    <w:rsid w:val="788F3BD2"/>
    <w:rsid w:val="78CB30B2"/>
    <w:rsid w:val="78D46EB3"/>
    <w:rsid w:val="78F175A6"/>
    <w:rsid w:val="78F706B6"/>
    <w:rsid w:val="78FD583F"/>
    <w:rsid w:val="79054405"/>
    <w:rsid w:val="79291662"/>
    <w:rsid w:val="796A4575"/>
    <w:rsid w:val="796F2A4A"/>
    <w:rsid w:val="797420F8"/>
    <w:rsid w:val="79810658"/>
    <w:rsid w:val="798474E0"/>
    <w:rsid w:val="798C05DE"/>
    <w:rsid w:val="79946C7C"/>
    <w:rsid w:val="79975900"/>
    <w:rsid w:val="79AD2344"/>
    <w:rsid w:val="79B67484"/>
    <w:rsid w:val="79D6024C"/>
    <w:rsid w:val="79EC6AD2"/>
    <w:rsid w:val="79F21B37"/>
    <w:rsid w:val="79FA643D"/>
    <w:rsid w:val="7A0F192D"/>
    <w:rsid w:val="7A1031EC"/>
    <w:rsid w:val="7A1660A3"/>
    <w:rsid w:val="7A271034"/>
    <w:rsid w:val="7A271B66"/>
    <w:rsid w:val="7A2A03D5"/>
    <w:rsid w:val="7A4373B5"/>
    <w:rsid w:val="7A555EE9"/>
    <w:rsid w:val="7A5B6D4B"/>
    <w:rsid w:val="7A5D16D6"/>
    <w:rsid w:val="7A5F35BB"/>
    <w:rsid w:val="7A5F6E9D"/>
    <w:rsid w:val="7A661869"/>
    <w:rsid w:val="7A696550"/>
    <w:rsid w:val="7A71689C"/>
    <w:rsid w:val="7A8858F6"/>
    <w:rsid w:val="7A906D9B"/>
    <w:rsid w:val="7A98399A"/>
    <w:rsid w:val="7AA62D7F"/>
    <w:rsid w:val="7AA850C6"/>
    <w:rsid w:val="7AA95A68"/>
    <w:rsid w:val="7AB14EFA"/>
    <w:rsid w:val="7AD12B2F"/>
    <w:rsid w:val="7AD30462"/>
    <w:rsid w:val="7AD31846"/>
    <w:rsid w:val="7AE20B93"/>
    <w:rsid w:val="7B0F2026"/>
    <w:rsid w:val="7B13561B"/>
    <w:rsid w:val="7B1D3B73"/>
    <w:rsid w:val="7B1E3202"/>
    <w:rsid w:val="7B352C37"/>
    <w:rsid w:val="7B481A27"/>
    <w:rsid w:val="7B4940D8"/>
    <w:rsid w:val="7B6713F6"/>
    <w:rsid w:val="7B6A6E36"/>
    <w:rsid w:val="7B7124E5"/>
    <w:rsid w:val="7B7522DA"/>
    <w:rsid w:val="7B7B74BB"/>
    <w:rsid w:val="7B8549AE"/>
    <w:rsid w:val="7B8E7CE6"/>
    <w:rsid w:val="7B8F0984"/>
    <w:rsid w:val="7B98676C"/>
    <w:rsid w:val="7BA61A46"/>
    <w:rsid w:val="7BB470B1"/>
    <w:rsid w:val="7BF57992"/>
    <w:rsid w:val="7C0D1A62"/>
    <w:rsid w:val="7C0F7E2D"/>
    <w:rsid w:val="7C2E1B3F"/>
    <w:rsid w:val="7C3155DD"/>
    <w:rsid w:val="7C444591"/>
    <w:rsid w:val="7C502926"/>
    <w:rsid w:val="7C635FD4"/>
    <w:rsid w:val="7C641C82"/>
    <w:rsid w:val="7C686FF2"/>
    <w:rsid w:val="7C720EE5"/>
    <w:rsid w:val="7C744526"/>
    <w:rsid w:val="7C791E7D"/>
    <w:rsid w:val="7C88330E"/>
    <w:rsid w:val="7C9A34A8"/>
    <w:rsid w:val="7CB7268B"/>
    <w:rsid w:val="7CBD7BCB"/>
    <w:rsid w:val="7CD4372F"/>
    <w:rsid w:val="7CD63D46"/>
    <w:rsid w:val="7CDB6E46"/>
    <w:rsid w:val="7D014DAB"/>
    <w:rsid w:val="7D0571B6"/>
    <w:rsid w:val="7D091986"/>
    <w:rsid w:val="7D0D21A1"/>
    <w:rsid w:val="7D1438EC"/>
    <w:rsid w:val="7D1A6DD2"/>
    <w:rsid w:val="7D213B30"/>
    <w:rsid w:val="7D3D563A"/>
    <w:rsid w:val="7D431933"/>
    <w:rsid w:val="7D5240F0"/>
    <w:rsid w:val="7D56791A"/>
    <w:rsid w:val="7D6F0064"/>
    <w:rsid w:val="7D710A93"/>
    <w:rsid w:val="7D715983"/>
    <w:rsid w:val="7D893446"/>
    <w:rsid w:val="7D913778"/>
    <w:rsid w:val="7D937FBC"/>
    <w:rsid w:val="7D9716BC"/>
    <w:rsid w:val="7D985859"/>
    <w:rsid w:val="7D9A24C3"/>
    <w:rsid w:val="7D9F54BB"/>
    <w:rsid w:val="7DAD0B5C"/>
    <w:rsid w:val="7DB76AFA"/>
    <w:rsid w:val="7DCA33AB"/>
    <w:rsid w:val="7DD37392"/>
    <w:rsid w:val="7DDC5C7C"/>
    <w:rsid w:val="7DDE37E7"/>
    <w:rsid w:val="7DE86CDC"/>
    <w:rsid w:val="7DE915A6"/>
    <w:rsid w:val="7DF77EBD"/>
    <w:rsid w:val="7DFD658A"/>
    <w:rsid w:val="7E091C81"/>
    <w:rsid w:val="7E134BD8"/>
    <w:rsid w:val="7E3921FC"/>
    <w:rsid w:val="7E5A46EA"/>
    <w:rsid w:val="7E5D558D"/>
    <w:rsid w:val="7E69325E"/>
    <w:rsid w:val="7E6F1E57"/>
    <w:rsid w:val="7E730013"/>
    <w:rsid w:val="7E822B73"/>
    <w:rsid w:val="7E863FAC"/>
    <w:rsid w:val="7E8F6F14"/>
    <w:rsid w:val="7E987C11"/>
    <w:rsid w:val="7EA05620"/>
    <w:rsid w:val="7EB8655E"/>
    <w:rsid w:val="7EC840FD"/>
    <w:rsid w:val="7EC84B89"/>
    <w:rsid w:val="7ECB7B1B"/>
    <w:rsid w:val="7ED0632D"/>
    <w:rsid w:val="7ED866B7"/>
    <w:rsid w:val="7EF22901"/>
    <w:rsid w:val="7F371711"/>
    <w:rsid w:val="7F5521C3"/>
    <w:rsid w:val="7F585DFF"/>
    <w:rsid w:val="7F5F3B68"/>
    <w:rsid w:val="7F66162D"/>
    <w:rsid w:val="7F763B36"/>
    <w:rsid w:val="7F8C14EE"/>
    <w:rsid w:val="7FAB17D9"/>
    <w:rsid w:val="7FBB7578"/>
    <w:rsid w:val="7FBF3F4B"/>
    <w:rsid w:val="7FC008B7"/>
    <w:rsid w:val="7FCA6ACC"/>
    <w:rsid w:val="7FDB526A"/>
    <w:rsid w:val="7FEE1FC4"/>
    <w:rsid w:val="7FFE2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autoRedefine/>
    <w:semiHidden/>
    <w:unhideWhenUsed/>
    <w:uiPriority w:val="99"/>
    <w:tblPr>
      <w:tblCellMar>
        <w:top w:w="0" w:type="dxa"/>
        <w:left w:w="108" w:type="dxa"/>
        <w:bottom w:w="0" w:type="dxa"/>
        <w:right w:w="108" w:type="dxa"/>
      </w:tblCellMar>
    </w:tblPr>
  </w:style>
  <w:style w:type="paragraph" w:styleId="2">
    <w:name w:val="annotation text"/>
    <w:basedOn w:val="1"/>
    <w:link w:val="12"/>
    <w:qFormat/>
    <w:uiPriority w:val="0"/>
    <w:pPr>
      <w:jc w:val="left"/>
    </w:pPr>
  </w:style>
  <w:style w:type="paragraph" w:styleId="3">
    <w:name w:val="Balloon Text"/>
    <w:basedOn w:val="1"/>
    <w:link w:val="14"/>
    <w:autoRedefine/>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qFormat/>
    <w:uiPriority w:val="0"/>
    <w:rPr>
      <w:b/>
      <w:bCs/>
    </w:rPr>
  </w:style>
  <w:style w:type="character" w:styleId="9">
    <w:name w:val="annotation reference"/>
    <w:basedOn w:val="8"/>
    <w:autoRedefine/>
    <w:qFormat/>
    <w:uiPriority w:val="0"/>
    <w:rPr>
      <w:sz w:val="21"/>
      <w:szCs w:val="21"/>
    </w:rPr>
  </w:style>
  <w:style w:type="character" w:customStyle="1" w:styleId="10">
    <w:name w:val="页眉 Char"/>
    <w:basedOn w:val="8"/>
    <w:link w:val="5"/>
    <w:autoRedefine/>
    <w:uiPriority w:val="0"/>
    <w:rPr>
      <w:rFonts w:ascii="Times New Roman" w:hAnsi="Times New Roman" w:eastAsia="宋体" w:cs="Times New Roman"/>
      <w:kern w:val="2"/>
      <w:sz w:val="18"/>
      <w:szCs w:val="18"/>
    </w:rPr>
  </w:style>
  <w:style w:type="character" w:customStyle="1" w:styleId="11">
    <w:name w:val="页脚 Char"/>
    <w:basedOn w:val="8"/>
    <w:link w:val="4"/>
    <w:uiPriority w:val="0"/>
    <w:rPr>
      <w:rFonts w:ascii="Times New Roman" w:hAnsi="Times New Roman" w:eastAsia="宋体" w:cs="Times New Roman"/>
      <w:kern w:val="2"/>
      <w:sz w:val="18"/>
      <w:szCs w:val="18"/>
    </w:rPr>
  </w:style>
  <w:style w:type="character" w:customStyle="1" w:styleId="12">
    <w:name w:val="批注文字 Char"/>
    <w:basedOn w:val="8"/>
    <w:link w:val="2"/>
    <w:uiPriority w:val="0"/>
    <w:rPr>
      <w:rFonts w:ascii="Times New Roman" w:hAnsi="Times New Roman" w:eastAsia="宋体" w:cs="Times New Roman"/>
      <w:kern w:val="2"/>
      <w:sz w:val="21"/>
      <w:szCs w:val="24"/>
    </w:rPr>
  </w:style>
  <w:style w:type="character" w:customStyle="1" w:styleId="13">
    <w:name w:val="批注主题 Char"/>
    <w:basedOn w:val="12"/>
    <w:link w:val="6"/>
    <w:uiPriority w:val="0"/>
    <w:rPr>
      <w:rFonts w:ascii="Times New Roman" w:hAnsi="Times New Roman" w:eastAsia="宋体" w:cs="Times New Roman"/>
      <w:b/>
      <w:bCs/>
      <w:kern w:val="2"/>
      <w:sz w:val="21"/>
      <w:szCs w:val="24"/>
    </w:rPr>
  </w:style>
  <w:style w:type="character" w:customStyle="1" w:styleId="14">
    <w:name w:val="批注框文本 Char"/>
    <w:basedOn w:val="8"/>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700749-4B99-48D4-9FC5-5542271410B5}">
  <ds:schemaRefs/>
</ds:datastoreItem>
</file>

<file path=docProps/app.xml><?xml version="1.0" encoding="utf-8"?>
<Properties xmlns="http://schemas.openxmlformats.org/officeDocument/2006/extended-properties" xmlns:vt="http://schemas.openxmlformats.org/officeDocument/2006/docPropsVTypes">
  <Template>Normal</Template>
  <Pages>4</Pages>
  <Words>973</Words>
  <Characters>5548</Characters>
  <Lines>46</Lines>
  <Paragraphs>13</Paragraphs>
  <TotalTime>8</TotalTime>
  <ScaleCrop>false</ScaleCrop>
  <LinksUpToDate>false</LinksUpToDate>
  <CharactersWithSpaces>6508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2022-03-29T03:39:00Z</dcterms:created>
  <dc:creator>lenovo</dc:creator>
  <cp:lastModifiedBy>飘雪</cp:lastModifiedBy>
  <dcterms:modified xsi:type="dcterms:W3CDTF">2024-04-22T08:57:18Z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B9619F39CB08449990CFAE9341C7487B_13</vt:lpwstr>
  </property>
</Properties>
</file>