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uto"/>
        <w:jc w:val="center"/>
        <w:rPr>
          <w:rFonts w:hint="eastAsia" w:eastAsia="宋体"/>
          <w:sz w:val="36"/>
          <w:szCs w:val="36"/>
          <w:lang w:eastAsia="zh-CN"/>
        </w:rPr>
      </w:pPr>
      <w:r>
        <w:rPr>
          <w:rFonts w:hint="eastAsia"/>
          <w:sz w:val="36"/>
          <w:szCs w:val="36"/>
        </w:rPr>
        <w:t>202</w:t>
      </w:r>
      <w:r>
        <w:rPr>
          <w:rFonts w:hint="eastAsia"/>
          <w:sz w:val="36"/>
          <w:szCs w:val="36"/>
          <w:lang w:val="en-US" w:eastAsia="zh-CN"/>
        </w:rPr>
        <w:t>3</w:t>
      </w:r>
      <w:r>
        <w:rPr>
          <w:rFonts w:hint="eastAsia"/>
          <w:sz w:val="36"/>
          <w:szCs w:val="36"/>
        </w:rPr>
        <w:t>年度全国饮水型地方性砷中毒</w:t>
      </w:r>
      <w:r>
        <w:rPr>
          <w:rFonts w:hint="eastAsia"/>
          <w:sz w:val="36"/>
          <w:szCs w:val="36"/>
          <w:lang w:val="en-US" w:eastAsia="zh-CN"/>
        </w:rPr>
        <w:t>监测</w:t>
      </w:r>
      <w:r>
        <w:rPr>
          <w:rFonts w:hint="eastAsia"/>
          <w:sz w:val="36"/>
          <w:szCs w:val="36"/>
        </w:rPr>
        <w:t>报告</w:t>
      </w:r>
      <w:r>
        <w:rPr>
          <w:rFonts w:hint="eastAsia"/>
          <w:sz w:val="36"/>
          <w:szCs w:val="36"/>
          <w:lang w:eastAsia="zh-CN"/>
        </w:rPr>
        <w:t>（</w:t>
      </w:r>
      <w:r>
        <w:rPr>
          <w:rFonts w:hint="eastAsia"/>
          <w:sz w:val="36"/>
          <w:szCs w:val="36"/>
          <w:lang w:val="en-US" w:eastAsia="zh-CN"/>
        </w:rPr>
        <w:t>摘要</w:t>
      </w:r>
      <w:r>
        <w:rPr>
          <w:rFonts w:hint="eastAsia"/>
          <w:sz w:val="36"/>
          <w:szCs w:val="36"/>
          <w:lang w:eastAsia="zh-CN"/>
        </w:rPr>
        <w:t>）</w:t>
      </w:r>
    </w:p>
    <w:p>
      <w:pPr>
        <w:pStyle w:val="32"/>
        <w:keepNext w:val="0"/>
        <w:keepLines w:val="0"/>
        <w:pageBreakBefore w:val="0"/>
        <w:kinsoku/>
        <w:wordWrap/>
        <w:overflowPunct/>
        <w:topLinePunct w:val="0"/>
        <w:autoSpaceDE/>
        <w:autoSpaceDN/>
        <w:bidi w:val="0"/>
        <w:spacing w:line="360" w:lineRule="auto"/>
        <w:ind w:firstLine="482"/>
        <w:jc w:val="both"/>
        <w:textAlignment w:val="auto"/>
        <w:rPr>
          <w:rFonts w:hint="eastAsia" w:ascii="Times New Roman" w:hAnsi="宋体" w:eastAsia="宋体" w:cs="Times New Roman"/>
          <w:b w:val="0"/>
          <w:bCs/>
          <w:sz w:val="24"/>
          <w:szCs w:val="24"/>
        </w:rPr>
      </w:pPr>
      <w:r>
        <w:rPr>
          <w:rFonts w:hint="eastAsia" w:ascii="Times New Roman" w:hAnsi="宋体" w:eastAsia="宋体" w:cs="Times New Roman"/>
          <w:b w:val="0"/>
          <w:bCs/>
          <w:sz w:val="24"/>
          <w:szCs w:val="24"/>
          <w:lang w:val="en-US"/>
        </w:rPr>
        <w:t>按照</w:t>
      </w:r>
      <w:r>
        <w:rPr>
          <w:rFonts w:hint="eastAsia" w:ascii="Times New Roman" w:hAnsi="宋体" w:eastAsia="宋体" w:cs="Times New Roman"/>
          <w:b w:val="0"/>
          <w:bCs/>
          <w:sz w:val="24"/>
          <w:szCs w:val="24"/>
          <w:lang w:val="en-US" w:eastAsia="zh-CN"/>
        </w:rPr>
        <w:t>饮水型</w:t>
      </w:r>
      <w:r>
        <w:rPr>
          <w:rFonts w:hint="eastAsia" w:ascii="Times New Roman" w:hAnsi="宋体" w:eastAsia="宋体" w:cs="Times New Roman"/>
          <w:b w:val="0"/>
          <w:bCs/>
          <w:sz w:val="24"/>
          <w:szCs w:val="24"/>
          <w:lang w:val="en-US"/>
        </w:rPr>
        <w:t>地方性</w:t>
      </w:r>
      <w:r>
        <w:rPr>
          <w:rFonts w:hint="eastAsia" w:ascii="Times New Roman" w:hAnsi="宋体" w:eastAsia="宋体" w:cs="Times New Roman"/>
          <w:b w:val="0"/>
          <w:bCs/>
          <w:sz w:val="24"/>
          <w:szCs w:val="24"/>
          <w:lang w:val="en-US" w:eastAsia="zh-CN"/>
        </w:rPr>
        <w:t>砷</w:t>
      </w:r>
      <w:r>
        <w:rPr>
          <w:rFonts w:hint="eastAsia" w:ascii="Times New Roman" w:hAnsi="宋体" w:eastAsia="宋体" w:cs="Times New Roman"/>
          <w:b w:val="0"/>
          <w:bCs/>
          <w:sz w:val="24"/>
          <w:szCs w:val="24"/>
          <w:lang w:val="en-US"/>
        </w:rPr>
        <w:t>中毒监测方案</w:t>
      </w:r>
      <w:r>
        <w:rPr>
          <w:rFonts w:hint="eastAsia" w:ascii="Times New Roman" w:hAnsi="宋体" w:eastAsia="宋体" w:cs="Times New Roman"/>
          <w:b w:val="0"/>
          <w:bCs/>
          <w:sz w:val="24"/>
          <w:szCs w:val="24"/>
          <w:lang w:val="en-US" w:eastAsia="zh-CN"/>
        </w:rPr>
        <w:t>（国卫办疾控函[2019]478号）和饮水型地方性砷中毒消除评价办法（国卫疾控函[2019]169号）等相关文件</w:t>
      </w:r>
      <w:r>
        <w:rPr>
          <w:rFonts w:hint="eastAsia" w:ascii="Times New Roman" w:hAnsi="宋体" w:eastAsia="宋体" w:cs="Times New Roman"/>
          <w:b w:val="0"/>
          <w:bCs/>
          <w:sz w:val="24"/>
          <w:szCs w:val="24"/>
          <w:lang w:val="en-US"/>
        </w:rPr>
        <w:t>要求</w:t>
      </w:r>
      <w:r>
        <w:rPr>
          <w:rFonts w:hint="eastAsia" w:ascii="Times New Roman" w:hAnsi="宋体" w:eastAsia="宋体" w:cs="Times New Roman"/>
          <w:b w:val="0"/>
          <w:bCs/>
          <w:sz w:val="24"/>
          <w:szCs w:val="24"/>
        </w:rPr>
        <w:t>，全国14个省（自治区）</w:t>
      </w:r>
      <w:r>
        <w:rPr>
          <w:rFonts w:hint="eastAsia" w:ascii="Times New Roman" w:hAnsi="宋体" w:eastAsia="宋体" w:cs="Times New Roman"/>
          <w:b w:val="0"/>
          <w:bCs/>
          <w:sz w:val="24"/>
          <w:szCs w:val="24"/>
          <w:lang w:val="en-US" w:eastAsia="zh-CN"/>
        </w:rPr>
        <w:t>于2023年</w:t>
      </w:r>
      <w:r>
        <w:rPr>
          <w:rFonts w:hint="eastAsia" w:ascii="Times New Roman" w:hAnsi="宋体" w:eastAsia="宋体" w:cs="Times New Roman"/>
          <w:b w:val="0"/>
          <w:bCs/>
          <w:sz w:val="24"/>
          <w:szCs w:val="24"/>
        </w:rPr>
        <w:t>开展了饮水型地方性砷中毒</w:t>
      </w:r>
      <w:r>
        <w:rPr>
          <w:rFonts w:hint="eastAsia" w:hAnsi="宋体" w:eastAsia="宋体" w:cs="Times New Roman"/>
          <w:b w:val="0"/>
          <w:bCs/>
          <w:sz w:val="24"/>
          <w:szCs w:val="24"/>
          <w:lang w:val="en-US" w:eastAsia="zh-CN"/>
        </w:rPr>
        <w:t>监测评价</w:t>
      </w:r>
      <w:r>
        <w:rPr>
          <w:rFonts w:hint="eastAsia" w:ascii="Times New Roman" w:hAnsi="宋体" w:eastAsia="宋体" w:cs="Times New Roman"/>
          <w:b w:val="0"/>
          <w:bCs/>
          <w:sz w:val="24"/>
          <w:szCs w:val="24"/>
          <w:lang w:val="en-US" w:eastAsia="zh-CN"/>
        </w:rPr>
        <w:t>工作，</w:t>
      </w:r>
      <w:r>
        <w:rPr>
          <w:rFonts w:hint="eastAsia" w:ascii="Times New Roman" w:hAnsi="宋体" w:eastAsia="宋体" w:cs="Times New Roman"/>
          <w:b w:val="0"/>
          <w:bCs/>
          <w:sz w:val="24"/>
          <w:szCs w:val="24"/>
          <w:lang w:val="en-US"/>
        </w:rPr>
        <w:t>现将</w:t>
      </w:r>
      <w:r>
        <w:rPr>
          <w:rFonts w:hint="eastAsia" w:ascii="Times New Roman" w:hAnsi="宋体" w:eastAsia="宋体" w:cs="Times New Roman"/>
          <w:b w:val="0"/>
          <w:bCs/>
          <w:sz w:val="24"/>
          <w:szCs w:val="24"/>
          <w:lang w:val="en-US" w:eastAsia="zh-CN"/>
        </w:rPr>
        <w:t>工作总结</w:t>
      </w:r>
      <w:r>
        <w:rPr>
          <w:rFonts w:hint="eastAsia" w:ascii="Times New Roman" w:hAnsi="宋体" w:eastAsia="宋体" w:cs="Times New Roman"/>
          <w:b w:val="0"/>
          <w:bCs/>
          <w:sz w:val="24"/>
          <w:szCs w:val="24"/>
        </w:rPr>
        <w:t>报告如下。</w:t>
      </w:r>
    </w:p>
    <w:p>
      <w:pPr>
        <w:pStyle w:val="10"/>
        <w:adjustRightInd w:val="0"/>
        <w:snapToGrid w:val="0"/>
        <w:spacing w:line="360" w:lineRule="auto"/>
        <w:ind w:firstLine="482"/>
        <w:outlineLvl w:val="0"/>
        <w:rPr>
          <w:b/>
          <w:bCs/>
          <w:color w:val="auto"/>
          <w:sz w:val="24"/>
        </w:rPr>
      </w:pPr>
      <w:bookmarkStart w:id="0" w:name="_Hlk41952649"/>
      <w:r>
        <w:rPr>
          <w:rFonts w:hAnsi="宋体"/>
          <w:b/>
          <w:bCs/>
          <w:color w:val="auto"/>
          <w:sz w:val="24"/>
        </w:rPr>
        <w:t>一、监测范围、内容及方法</w:t>
      </w:r>
    </w:p>
    <w:p>
      <w:pPr>
        <w:pStyle w:val="10"/>
        <w:adjustRightInd w:val="0"/>
        <w:snapToGrid w:val="0"/>
        <w:spacing w:line="360" w:lineRule="auto"/>
        <w:ind w:firstLine="480"/>
        <w:rPr>
          <w:rFonts w:hAnsi="宋体"/>
          <w:bCs/>
          <w:color w:val="auto"/>
          <w:sz w:val="24"/>
        </w:rPr>
      </w:pPr>
      <w:r>
        <w:rPr>
          <w:rFonts w:hint="eastAsia" w:hAnsi="宋体"/>
          <w:bCs/>
          <w:color w:val="auto"/>
          <w:sz w:val="24"/>
        </w:rPr>
        <w:t>山西、内蒙古、吉林、江苏、安徽、河南、湖北、四川、云南、甘肃、青海、宁夏、新疆等14个省（自治区）的全部饮水型地方性砷中毒病区村和高砷村。调查病区村常住户数、常住人口数、历史（改水之前）水砷含量等。对监测村所有正在和（或）曾经暴露于高砷水的常住人口进行体检，体检率不低于95%，查找新发病例，调查原有病例的转归及变化情况。</w:t>
      </w:r>
    </w:p>
    <w:p>
      <w:pPr>
        <w:pStyle w:val="10"/>
        <w:adjustRightInd w:val="0"/>
        <w:snapToGrid w:val="0"/>
        <w:spacing w:line="360" w:lineRule="auto"/>
        <w:ind w:firstLine="482"/>
        <w:outlineLvl w:val="0"/>
        <w:rPr>
          <w:b/>
          <w:bCs/>
          <w:color w:val="auto"/>
          <w:sz w:val="24"/>
        </w:rPr>
      </w:pPr>
      <w:r>
        <w:rPr>
          <w:rFonts w:hint="eastAsia" w:hAnsi="宋体"/>
          <w:b/>
          <w:bCs/>
          <w:color w:val="auto"/>
          <w:sz w:val="24"/>
          <w:lang w:val="en-US" w:eastAsia="zh-CN"/>
        </w:rPr>
        <w:t>二</w:t>
      </w:r>
      <w:r>
        <w:rPr>
          <w:rFonts w:hAnsi="宋体"/>
          <w:b/>
          <w:bCs/>
          <w:color w:val="auto"/>
          <w:sz w:val="24"/>
        </w:rPr>
        <w:t>、监测结果</w:t>
      </w:r>
    </w:p>
    <w:p>
      <w:pPr>
        <w:pStyle w:val="10"/>
        <w:keepNext w:val="0"/>
        <w:keepLines w:val="0"/>
        <w:pageBreakBefore w:val="0"/>
        <w:kinsoku/>
        <w:wordWrap/>
        <w:overflowPunct/>
        <w:topLinePunct w:val="0"/>
        <w:autoSpaceDE/>
        <w:autoSpaceDN/>
        <w:bidi w:val="0"/>
        <w:adjustRightInd w:val="0"/>
        <w:snapToGrid w:val="0"/>
        <w:spacing w:line="360" w:lineRule="auto"/>
        <w:ind w:firstLine="360" w:firstLineChars="150"/>
        <w:jc w:val="both"/>
        <w:textAlignment w:val="auto"/>
        <w:outlineLvl w:val="0"/>
        <w:rPr>
          <w:rFonts w:hAnsi="宋体"/>
          <w:b/>
          <w:bCs/>
          <w:color w:val="auto"/>
          <w:sz w:val="24"/>
        </w:rPr>
      </w:pPr>
      <w:r>
        <w:rPr>
          <w:rFonts w:hAnsi="宋体"/>
          <w:b/>
          <w:bCs/>
          <w:color w:val="auto"/>
          <w:sz w:val="24"/>
        </w:rPr>
        <w:t>（一）</w:t>
      </w:r>
      <w:r>
        <w:rPr>
          <w:rFonts w:hint="eastAsia" w:hAnsi="宋体"/>
          <w:b/>
          <w:bCs/>
          <w:color w:val="auto"/>
          <w:sz w:val="24"/>
        </w:rPr>
        <w:t>全国改水工程落实进度及水</w:t>
      </w:r>
      <w:r>
        <w:rPr>
          <w:rFonts w:hint="eastAsia" w:hAnsi="宋体"/>
          <w:b/>
          <w:bCs/>
          <w:color w:val="auto"/>
          <w:sz w:val="24"/>
          <w:lang w:val="en-US" w:eastAsia="zh-CN"/>
        </w:rPr>
        <w:t>砷</w:t>
      </w:r>
      <w:r>
        <w:rPr>
          <w:rFonts w:hint="eastAsia" w:hAnsi="宋体"/>
          <w:b/>
          <w:bCs/>
          <w:color w:val="auto"/>
          <w:sz w:val="24"/>
        </w:rPr>
        <w:t>含量</w:t>
      </w:r>
    </w:p>
    <w:p>
      <w:pPr>
        <w:pStyle w:val="10"/>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Ansi="宋体"/>
          <w:bCs/>
          <w:color w:val="auto"/>
          <w:sz w:val="24"/>
        </w:rPr>
      </w:pPr>
      <w:r>
        <w:rPr>
          <w:rFonts w:hint="eastAsia" w:hAnsi="宋体"/>
          <w:bCs/>
          <w:color w:val="auto"/>
          <w:sz w:val="24"/>
        </w:rPr>
        <w:t xml:space="preserve">1. </w:t>
      </w:r>
      <w:r>
        <w:rPr>
          <w:rFonts w:hint="eastAsia" w:hAnsi="宋体"/>
          <w:bCs/>
          <w:color w:val="auto"/>
          <w:sz w:val="24"/>
          <w:lang w:val="en-US" w:eastAsia="zh-CN"/>
        </w:rPr>
        <w:t>病区村</w:t>
      </w:r>
      <w:r>
        <w:rPr>
          <w:rFonts w:hint="eastAsia" w:hAnsi="宋体"/>
          <w:bCs/>
          <w:color w:val="auto"/>
          <w:sz w:val="24"/>
        </w:rPr>
        <w:t>改水进度</w:t>
      </w:r>
    </w:p>
    <w:p>
      <w:pPr>
        <w:pStyle w:val="10"/>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color w:val="auto"/>
          <w:sz w:val="24"/>
          <w:highlight w:val="none"/>
        </w:rPr>
      </w:pPr>
      <w:r>
        <w:rPr>
          <w:rFonts w:hint="eastAsia" w:hAnsi="宋体"/>
          <w:bCs/>
          <w:color w:val="auto"/>
          <w:sz w:val="24"/>
          <w:highlight w:val="none"/>
        </w:rPr>
        <w:t>本年度1</w:t>
      </w:r>
      <w:r>
        <w:rPr>
          <w:rFonts w:hAnsi="宋体"/>
          <w:bCs/>
          <w:color w:val="auto"/>
          <w:sz w:val="24"/>
          <w:highlight w:val="none"/>
        </w:rPr>
        <w:t>4</w:t>
      </w:r>
      <w:r>
        <w:rPr>
          <w:rFonts w:hint="eastAsia" w:hAnsi="宋体"/>
          <w:bCs/>
          <w:color w:val="auto"/>
          <w:sz w:val="24"/>
          <w:highlight w:val="none"/>
        </w:rPr>
        <w:t>个省（自治区）共监测120个县，覆盖了2</w:t>
      </w:r>
      <w:r>
        <w:rPr>
          <w:rFonts w:hint="eastAsia" w:hAnsi="宋体"/>
          <w:bCs/>
          <w:color w:val="auto"/>
          <w:sz w:val="24"/>
          <w:highlight w:val="none"/>
          <w:lang w:val="en-US" w:eastAsia="zh-CN"/>
        </w:rPr>
        <w:t>,</w:t>
      </w:r>
      <w:r>
        <w:rPr>
          <w:rFonts w:hint="eastAsia" w:hAnsi="宋体"/>
          <w:bCs/>
          <w:color w:val="auto"/>
          <w:sz w:val="24"/>
          <w:highlight w:val="none"/>
        </w:rPr>
        <w:t>5</w:t>
      </w:r>
      <w:r>
        <w:rPr>
          <w:rFonts w:hint="eastAsia" w:hAnsi="宋体"/>
          <w:bCs/>
          <w:color w:val="auto"/>
          <w:sz w:val="24"/>
          <w:highlight w:val="none"/>
          <w:lang w:val="en-US" w:eastAsia="zh-CN"/>
        </w:rPr>
        <w:t>12</w:t>
      </w:r>
      <w:r>
        <w:rPr>
          <w:rFonts w:hint="eastAsia" w:hAnsi="宋体"/>
          <w:bCs/>
          <w:color w:val="auto"/>
          <w:sz w:val="24"/>
          <w:highlight w:val="none"/>
        </w:rPr>
        <w:t>个自然村，常住户数</w:t>
      </w:r>
      <w:r>
        <w:rPr>
          <w:rFonts w:hint="eastAsia" w:hAnsi="宋体"/>
          <w:bCs/>
          <w:color w:val="auto"/>
          <w:sz w:val="24"/>
          <w:highlight w:val="none"/>
          <w:lang w:val="en-US" w:eastAsia="zh-CN"/>
        </w:rPr>
        <w:t>48.15</w:t>
      </w:r>
      <w:r>
        <w:rPr>
          <w:rFonts w:hint="eastAsia" w:hAnsi="宋体"/>
          <w:bCs/>
          <w:color w:val="auto"/>
          <w:sz w:val="24"/>
          <w:highlight w:val="none"/>
        </w:rPr>
        <w:t>万户，常住人口</w:t>
      </w:r>
      <w:bookmarkStart w:id="1" w:name="OLE_LINK13"/>
      <w:r>
        <w:rPr>
          <w:rFonts w:hint="eastAsia" w:hAnsi="宋体"/>
          <w:bCs/>
          <w:color w:val="auto"/>
          <w:sz w:val="24"/>
          <w:highlight w:val="none"/>
          <w:lang w:val="en-US" w:eastAsia="zh-CN"/>
        </w:rPr>
        <w:t>137.56</w:t>
      </w:r>
      <w:bookmarkEnd w:id="1"/>
      <w:r>
        <w:rPr>
          <w:rFonts w:hint="eastAsia" w:hAnsi="宋体"/>
          <w:bCs/>
          <w:color w:val="auto"/>
          <w:sz w:val="24"/>
          <w:highlight w:val="none"/>
        </w:rPr>
        <w:t>万人。</w:t>
      </w:r>
      <w:r>
        <w:rPr>
          <w:rFonts w:hint="eastAsia" w:hAnsi="宋体"/>
          <w:bCs/>
          <w:color w:val="auto"/>
          <w:sz w:val="24"/>
          <w:highlight w:val="none"/>
          <w:lang w:val="en-US" w:eastAsia="zh-CN"/>
        </w:rPr>
        <w:t>其中，</w:t>
      </w:r>
      <w:r>
        <w:rPr>
          <w:rFonts w:hint="eastAsia" w:hAnsi="宋体"/>
          <w:bCs/>
          <w:color w:val="auto"/>
          <w:sz w:val="24"/>
          <w:highlight w:val="none"/>
        </w:rPr>
        <w:t>已改水村</w:t>
      </w:r>
      <w:bookmarkStart w:id="2" w:name="OLE_LINK7"/>
      <w:r>
        <w:rPr>
          <w:rFonts w:hint="eastAsia" w:hAnsi="宋体"/>
          <w:bCs/>
          <w:color w:val="auto"/>
          <w:sz w:val="24"/>
          <w:highlight w:val="none"/>
        </w:rPr>
        <w:t>2</w:t>
      </w:r>
      <w:r>
        <w:rPr>
          <w:rFonts w:hint="eastAsia" w:hAnsi="宋体"/>
          <w:bCs/>
          <w:color w:val="auto"/>
          <w:sz w:val="24"/>
          <w:highlight w:val="none"/>
          <w:lang w:val="en-US" w:eastAsia="zh-CN"/>
        </w:rPr>
        <w:t>,</w:t>
      </w:r>
      <w:r>
        <w:rPr>
          <w:rFonts w:hint="eastAsia" w:hAnsi="宋体"/>
          <w:bCs/>
          <w:color w:val="auto"/>
          <w:sz w:val="24"/>
          <w:highlight w:val="none"/>
        </w:rPr>
        <w:t>5</w:t>
      </w:r>
      <w:r>
        <w:rPr>
          <w:rFonts w:hint="eastAsia" w:hAnsi="宋体"/>
          <w:bCs/>
          <w:color w:val="auto"/>
          <w:sz w:val="24"/>
          <w:highlight w:val="none"/>
          <w:lang w:val="en-US" w:eastAsia="zh-CN"/>
        </w:rPr>
        <w:t>03</w:t>
      </w:r>
      <w:bookmarkEnd w:id="2"/>
      <w:r>
        <w:rPr>
          <w:rFonts w:hint="eastAsia" w:hAnsi="宋体"/>
          <w:bCs/>
          <w:color w:val="auto"/>
          <w:sz w:val="24"/>
          <w:highlight w:val="none"/>
        </w:rPr>
        <w:t>个，占监测村数的99.</w:t>
      </w:r>
      <w:r>
        <w:rPr>
          <w:rFonts w:hint="eastAsia" w:hAnsi="宋体"/>
          <w:bCs/>
          <w:color w:val="auto"/>
          <w:sz w:val="24"/>
          <w:highlight w:val="none"/>
          <w:lang w:val="en-US" w:eastAsia="zh-CN"/>
        </w:rPr>
        <w:t>64</w:t>
      </w:r>
      <w:r>
        <w:rPr>
          <w:rFonts w:hAnsi="宋体"/>
          <w:bCs/>
          <w:color w:val="auto"/>
          <w:sz w:val="24"/>
          <w:highlight w:val="none"/>
        </w:rPr>
        <w:t>%</w:t>
      </w:r>
      <w:r>
        <w:rPr>
          <w:rFonts w:hint="eastAsia" w:hAnsi="宋体"/>
          <w:bCs/>
          <w:color w:val="auto"/>
          <w:sz w:val="24"/>
          <w:highlight w:val="none"/>
          <w:lang w:eastAsia="zh-CN"/>
        </w:rPr>
        <w:t>，</w:t>
      </w:r>
      <w:r>
        <w:rPr>
          <w:rFonts w:hint="eastAsia" w:hAnsi="宋体"/>
          <w:bCs/>
          <w:color w:val="auto"/>
          <w:sz w:val="24"/>
          <w:highlight w:val="none"/>
        </w:rPr>
        <w:t>未改水村</w:t>
      </w:r>
      <w:r>
        <w:rPr>
          <w:rFonts w:hint="eastAsia" w:hAnsi="宋体"/>
          <w:bCs/>
          <w:color w:val="auto"/>
          <w:sz w:val="24"/>
          <w:highlight w:val="none"/>
          <w:lang w:val="en-US" w:eastAsia="zh-CN"/>
        </w:rPr>
        <w:t>9</w:t>
      </w:r>
      <w:r>
        <w:rPr>
          <w:rFonts w:hint="eastAsia" w:hAnsi="宋体"/>
          <w:bCs/>
          <w:color w:val="auto"/>
          <w:sz w:val="24"/>
          <w:highlight w:val="none"/>
        </w:rPr>
        <w:t>个，占监测村数的0.</w:t>
      </w:r>
      <w:r>
        <w:rPr>
          <w:rFonts w:hint="eastAsia" w:hAnsi="宋体"/>
          <w:bCs/>
          <w:color w:val="auto"/>
          <w:sz w:val="24"/>
          <w:highlight w:val="none"/>
          <w:lang w:val="en-US" w:eastAsia="zh-CN"/>
        </w:rPr>
        <w:t>36</w:t>
      </w:r>
      <w:r>
        <w:rPr>
          <w:rFonts w:hAnsi="宋体"/>
          <w:bCs/>
          <w:color w:val="auto"/>
          <w:sz w:val="24"/>
          <w:highlight w:val="none"/>
        </w:rPr>
        <w:t>%</w:t>
      </w:r>
      <w:r>
        <w:rPr>
          <w:rFonts w:hint="eastAsia" w:hAnsi="宋体"/>
          <w:bCs/>
          <w:color w:val="auto"/>
          <w:sz w:val="24"/>
          <w:highlight w:val="none"/>
        </w:rPr>
        <w:t>。除内蒙古改水率</w:t>
      </w:r>
      <w:r>
        <w:rPr>
          <w:rFonts w:hint="eastAsia" w:hAnsi="宋体"/>
          <w:bCs/>
          <w:color w:val="auto"/>
          <w:sz w:val="24"/>
          <w:highlight w:val="none"/>
          <w:lang w:val="en-US" w:eastAsia="zh-CN"/>
        </w:rPr>
        <w:t>为</w:t>
      </w:r>
      <w:r>
        <w:rPr>
          <w:rFonts w:hint="eastAsia" w:hAnsi="宋体"/>
          <w:bCs/>
          <w:color w:val="auto"/>
          <w:sz w:val="24"/>
          <w:highlight w:val="none"/>
        </w:rPr>
        <w:t>99.</w:t>
      </w:r>
      <w:r>
        <w:rPr>
          <w:rFonts w:hint="eastAsia" w:hAnsi="宋体"/>
          <w:bCs/>
          <w:color w:val="auto"/>
          <w:sz w:val="24"/>
          <w:highlight w:val="none"/>
          <w:lang w:val="en-US" w:eastAsia="zh-CN"/>
        </w:rPr>
        <w:t>23</w:t>
      </w:r>
      <w:r>
        <w:rPr>
          <w:rFonts w:hint="eastAsia" w:hAnsi="宋体"/>
          <w:bCs/>
          <w:color w:val="auto"/>
          <w:sz w:val="24"/>
          <w:highlight w:val="none"/>
        </w:rPr>
        <w:t>%外，其他各省（自治区）均已达到100%。</w:t>
      </w:r>
      <w:r>
        <w:rPr>
          <w:color w:val="auto"/>
          <w:sz w:val="24"/>
          <w:highlight w:val="none"/>
        </w:rPr>
        <w:t>结果见表1。</w:t>
      </w:r>
      <w:r>
        <w:rPr>
          <w:rFonts w:hint="eastAsia"/>
          <w:color w:val="auto"/>
          <w:sz w:val="24"/>
          <w:highlight w:val="none"/>
        </w:rPr>
        <w:t>本年度监测的自然村数较上一年度减少了35个，主要由于</w:t>
      </w:r>
      <w:r>
        <w:rPr>
          <w:rFonts w:hint="eastAsia"/>
          <w:color w:val="auto"/>
          <w:sz w:val="24"/>
          <w:highlight w:val="none"/>
          <w:lang w:val="en-US" w:eastAsia="zh-CN"/>
        </w:rPr>
        <w:t>吉林和</w:t>
      </w:r>
      <w:r>
        <w:rPr>
          <w:rFonts w:hint="eastAsia"/>
          <w:color w:val="auto"/>
          <w:sz w:val="24"/>
          <w:highlight w:val="none"/>
        </w:rPr>
        <w:t>新疆部分自然村进行了合并。</w:t>
      </w:r>
    </w:p>
    <w:p>
      <w:pPr>
        <w:pStyle w:val="10"/>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jc w:val="both"/>
        <w:textAlignment w:val="auto"/>
        <w:rPr>
          <w:rFonts w:hAnsi="宋体"/>
          <w:bCs/>
          <w:color w:val="auto"/>
          <w:sz w:val="24"/>
        </w:rPr>
      </w:pPr>
      <w:r>
        <w:rPr>
          <w:rFonts w:hint="eastAsia" w:hAnsi="宋体"/>
          <w:bCs/>
          <w:color w:val="auto"/>
          <w:sz w:val="24"/>
        </w:rPr>
        <w:t>改水工程运转情况</w:t>
      </w:r>
    </w:p>
    <w:p>
      <w:pPr>
        <w:pStyle w:val="10"/>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color w:val="auto"/>
          <w:sz w:val="24"/>
        </w:rPr>
      </w:pPr>
      <w:r>
        <w:rPr>
          <w:rFonts w:hint="eastAsia" w:hAnsi="宋体"/>
          <w:bCs/>
          <w:color w:val="auto"/>
          <w:sz w:val="24"/>
        </w:rPr>
        <w:t>在</w:t>
      </w:r>
      <w:bookmarkStart w:id="3" w:name="OLE_LINK9"/>
      <w:r>
        <w:rPr>
          <w:rFonts w:hint="eastAsia" w:hAnsi="宋体"/>
          <w:bCs/>
          <w:color w:val="auto"/>
          <w:sz w:val="24"/>
        </w:rPr>
        <w:t>2</w:t>
      </w:r>
      <w:r>
        <w:rPr>
          <w:rFonts w:hint="eastAsia" w:hAnsi="宋体"/>
          <w:bCs/>
          <w:color w:val="auto"/>
          <w:sz w:val="24"/>
          <w:lang w:val="en-US" w:eastAsia="zh-CN"/>
        </w:rPr>
        <w:t>,</w:t>
      </w:r>
      <w:r>
        <w:rPr>
          <w:rFonts w:hint="eastAsia" w:hAnsi="宋体"/>
          <w:bCs/>
          <w:color w:val="auto"/>
          <w:sz w:val="24"/>
        </w:rPr>
        <w:t>503</w:t>
      </w:r>
      <w:bookmarkEnd w:id="3"/>
      <w:r>
        <w:rPr>
          <w:rFonts w:hint="eastAsia" w:hAnsi="宋体"/>
          <w:bCs/>
          <w:color w:val="auto"/>
          <w:sz w:val="24"/>
        </w:rPr>
        <w:t>个改水村中，改水工程正常运转的村数2</w:t>
      </w:r>
      <w:r>
        <w:rPr>
          <w:rFonts w:hint="eastAsia" w:hAnsi="宋体"/>
          <w:bCs/>
          <w:color w:val="auto"/>
          <w:sz w:val="24"/>
          <w:lang w:val="en-US" w:eastAsia="zh-CN"/>
        </w:rPr>
        <w:t>,494</w:t>
      </w:r>
      <w:r>
        <w:rPr>
          <w:rFonts w:hint="eastAsia" w:hAnsi="宋体"/>
          <w:bCs/>
          <w:color w:val="auto"/>
          <w:sz w:val="24"/>
        </w:rPr>
        <w:t>个，占改水村的99.</w:t>
      </w:r>
      <w:r>
        <w:rPr>
          <w:rFonts w:hint="eastAsia" w:hAnsi="宋体"/>
          <w:bCs/>
          <w:color w:val="auto"/>
          <w:sz w:val="24"/>
          <w:lang w:val="en-US" w:eastAsia="zh-CN"/>
        </w:rPr>
        <w:t>64</w:t>
      </w:r>
      <w:r>
        <w:rPr>
          <w:rFonts w:hint="eastAsia" w:hAnsi="宋体"/>
          <w:bCs/>
          <w:color w:val="auto"/>
          <w:sz w:val="24"/>
        </w:rPr>
        <w:t>％；改水工程间歇运转的村数</w:t>
      </w:r>
      <w:r>
        <w:rPr>
          <w:rFonts w:hint="eastAsia" w:hAnsi="宋体"/>
          <w:bCs/>
          <w:color w:val="auto"/>
          <w:sz w:val="24"/>
          <w:lang w:val="en-US" w:eastAsia="zh-CN"/>
        </w:rPr>
        <w:t>3</w:t>
      </w:r>
      <w:r>
        <w:rPr>
          <w:rFonts w:hint="eastAsia" w:hAnsi="宋体"/>
          <w:bCs/>
          <w:color w:val="auto"/>
          <w:sz w:val="24"/>
        </w:rPr>
        <w:t>个</w:t>
      </w:r>
      <w:r>
        <w:rPr>
          <w:rFonts w:hint="eastAsia" w:hAnsi="宋体"/>
          <w:bCs/>
          <w:color w:val="auto"/>
          <w:sz w:val="24"/>
          <w:lang w:eastAsia="zh-CN"/>
        </w:rPr>
        <w:t>，</w:t>
      </w:r>
      <w:r>
        <w:rPr>
          <w:rFonts w:hint="eastAsia" w:hAnsi="宋体"/>
          <w:bCs/>
          <w:color w:val="auto"/>
          <w:sz w:val="24"/>
        </w:rPr>
        <w:t>改水工程</w:t>
      </w:r>
      <w:r>
        <w:rPr>
          <w:rFonts w:hint="eastAsia" w:hAnsi="宋体"/>
          <w:bCs/>
          <w:color w:val="auto"/>
          <w:sz w:val="24"/>
          <w:lang w:val="en-US" w:eastAsia="zh-CN"/>
        </w:rPr>
        <w:t>报废</w:t>
      </w:r>
      <w:r>
        <w:rPr>
          <w:rFonts w:hint="eastAsia" w:hAnsi="宋体"/>
          <w:bCs/>
          <w:color w:val="auto"/>
          <w:sz w:val="24"/>
        </w:rPr>
        <w:t>的村数</w:t>
      </w:r>
      <w:r>
        <w:rPr>
          <w:rFonts w:hint="eastAsia" w:hAnsi="宋体"/>
          <w:bCs/>
          <w:color w:val="auto"/>
          <w:sz w:val="24"/>
          <w:lang w:val="en-US" w:eastAsia="zh-CN"/>
        </w:rPr>
        <w:t>6</w:t>
      </w:r>
      <w:r>
        <w:rPr>
          <w:rFonts w:hint="eastAsia" w:hAnsi="宋体"/>
          <w:bCs/>
          <w:color w:val="auto"/>
          <w:sz w:val="24"/>
        </w:rPr>
        <w:t>个。改水工程间歇运转的村分布于内蒙古（2个）和新疆（</w:t>
      </w:r>
      <w:r>
        <w:rPr>
          <w:rFonts w:hint="eastAsia" w:hAnsi="宋体"/>
          <w:bCs/>
          <w:color w:val="auto"/>
          <w:sz w:val="24"/>
          <w:lang w:val="en-US" w:eastAsia="zh-CN"/>
        </w:rPr>
        <w:t>1</w:t>
      </w:r>
      <w:r>
        <w:rPr>
          <w:rFonts w:hint="eastAsia" w:hAnsi="宋体"/>
          <w:bCs/>
          <w:color w:val="auto"/>
          <w:sz w:val="24"/>
        </w:rPr>
        <w:t>个）</w:t>
      </w:r>
      <w:r>
        <w:rPr>
          <w:rFonts w:hint="eastAsia" w:hAnsi="宋体"/>
          <w:bCs/>
          <w:color w:val="auto"/>
          <w:sz w:val="24"/>
          <w:lang w:eastAsia="zh-CN"/>
        </w:rPr>
        <w:t>，</w:t>
      </w:r>
      <w:r>
        <w:rPr>
          <w:rFonts w:hint="eastAsia" w:hAnsi="宋体"/>
          <w:bCs/>
          <w:color w:val="auto"/>
          <w:sz w:val="24"/>
        </w:rPr>
        <w:t>改水工程</w:t>
      </w:r>
      <w:r>
        <w:rPr>
          <w:rFonts w:hint="eastAsia" w:hAnsi="宋体"/>
          <w:bCs/>
          <w:color w:val="auto"/>
          <w:sz w:val="24"/>
          <w:lang w:val="en-US" w:eastAsia="zh-CN"/>
        </w:rPr>
        <w:t>报废</w:t>
      </w:r>
      <w:r>
        <w:rPr>
          <w:rFonts w:hint="eastAsia" w:hAnsi="宋体"/>
          <w:bCs/>
          <w:color w:val="auto"/>
          <w:sz w:val="24"/>
        </w:rPr>
        <w:t>的村分布于内蒙古（</w:t>
      </w:r>
      <w:r>
        <w:rPr>
          <w:rFonts w:hint="eastAsia" w:hAnsi="宋体"/>
          <w:bCs/>
          <w:color w:val="auto"/>
          <w:sz w:val="24"/>
          <w:lang w:val="en-US" w:eastAsia="zh-CN"/>
        </w:rPr>
        <w:t>4</w:t>
      </w:r>
      <w:r>
        <w:rPr>
          <w:rFonts w:hint="eastAsia" w:hAnsi="宋体"/>
          <w:bCs/>
          <w:color w:val="auto"/>
          <w:sz w:val="24"/>
        </w:rPr>
        <w:t>个）和</w:t>
      </w:r>
      <w:r>
        <w:rPr>
          <w:rFonts w:hint="eastAsia" w:hAnsi="宋体"/>
          <w:bCs/>
          <w:color w:val="auto"/>
          <w:sz w:val="24"/>
          <w:lang w:val="en-US" w:eastAsia="zh-CN"/>
        </w:rPr>
        <w:t>云南</w:t>
      </w:r>
      <w:r>
        <w:rPr>
          <w:rFonts w:hint="eastAsia" w:hAnsi="宋体"/>
          <w:bCs/>
          <w:color w:val="auto"/>
          <w:sz w:val="24"/>
        </w:rPr>
        <w:t>（</w:t>
      </w:r>
      <w:r>
        <w:rPr>
          <w:rFonts w:hint="eastAsia" w:hAnsi="宋体"/>
          <w:bCs/>
          <w:color w:val="auto"/>
          <w:sz w:val="24"/>
          <w:lang w:val="en-US" w:eastAsia="zh-CN"/>
        </w:rPr>
        <w:t>2</w:t>
      </w:r>
      <w:r>
        <w:rPr>
          <w:rFonts w:hint="eastAsia" w:hAnsi="宋体"/>
          <w:bCs/>
          <w:color w:val="auto"/>
          <w:sz w:val="24"/>
        </w:rPr>
        <w:t>个）</w:t>
      </w:r>
      <w:r>
        <w:rPr>
          <w:rFonts w:hint="eastAsia" w:hAnsi="宋体"/>
          <w:bCs/>
          <w:color w:val="auto"/>
          <w:sz w:val="24"/>
          <w:lang w:eastAsia="zh-CN"/>
        </w:rPr>
        <w:t>。</w:t>
      </w:r>
      <w:r>
        <w:rPr>
          <w:rFonts w:hint="eastAsia" w:hAnsi="宋体"/>
          <w:bCs/>
          <w:color w:val="auto"/>
          <w:sz w:val="24"/>
        </w:rPr>
        <w:t>改水工程正常运转率除内蒙古</w:t>
      </w:r>
      <w:bookmarkStart w:id="4" w:name="OLE_LINK8"/>
      <w:r>
        <w:rPr>
          <w:rFonts w:hint="eastAsia" w:hAnsi="宋体"/>
          <w:bCs/>
          <w:color w:val="auto"/>
          <w:sz w:val="24"/>
          <w:lang w:eastAsia="zh-CN"/>
        </w:rPr>
        <w:t>（</w:t>
      </w:r>
      <w:r>
        <w:rPr>
          <w:rFonts w:hint="eastAsia" w:hAnsi="宋体"/>
          <w:bCs/>
          <w:color w:val="auto"/>
          <w:sz w:val="24"/>
          <w:lang w:val="en-US" w:eastAsia="zh-CN"/>
        </w:rPr>
        <w:t>99.48%</w:t>
      </w:r>
      <w:r>
        <w:rPr>
          <w:rFonts w:hint="eastAsia" w:hAnsi="宋体"/>
          <w:bCs/>
          <w:color w:val="auto"/>
          <w:sz w:val="24"/>
          <w:lang w:eastAsia="zh-CN"/>
        </w:rPr>
        <w:t>）</w:t>
      </w:r>
      <w:bookmarkEnd w:id="4"/>
      <w:r>
        <w:rPr>
          <w:rFonts w:hint="eastAsia" w:hAnsi="宋体"/>
          <w:bCs/>
          <w:color w:val="auto"/>
          <w:sz w:val="24"/>
          <w:lang w:eastAsia="zh-CN"/>
        </w:rPr>
        <w:t>、</w:t>
      </w:r>
      <w:r>
        <w:rPr>
          <w:rFonts w:hint="eastAsia" w:hAnsi="宋体"/>
          <w:bCs/>
          <w:color w:val="auto"/>
          <w:sz w:val="24"/>
          <w:lang w:val="en-US" w:eastAsia="zh-CN"/>
        </w:rPr>
        <w:t>云南</w:t>
      </w:r>
      <w:r>
        <w:rPr>
          <w:rFonts w:hint="eastAsia" w:hAnsi="宋体"/>
          <w:bCs/>
          <w:color w:val="auto"/>
          <w:sz w:val="24"/>
          <w:lang w:eastAsia="zh-CN"/>
        </w:rPr>
        <w:t>（</w:t>
      </w:r>
      <w:r>
        <w:rPr>
          <w:rFonts w:hint="eastAsia" w:hAnsi="宋体"/>
          <w:bCs/>
          <w:color w:val="auto"/>
          <w:sz w:val="24"/>
          <w:lang w:val="en-US" w:eastAsia="zh-CN"/>
        </w:rPr>
        <w:t>95.24%</w:t>
      </w:r>
      <w:r>
        <w:rPr>
          <w:rFonts w:hint="eastAsia" w:hAnsi="宋体"/>
          <w:bCs/>
          <w:color w:val="auto"/>
          <w:sz w:val="24"/>
          <w:lang w:eastAsia="zh-CN"/>
        </w:rPr>
        <w:t>）</w:t>
      </w:r>
      <w:r>
        <w:rPr>
          <w:rFonts w:hint="eastAsia" w:hAnsi="宋体"/>
          <w:bCs/>
          <w:color w:val="auto"/>
          <w:sz w:val="24"/>
          <w:lang w:val="en-US" w:eastAsia="zh-CN"/>
        </w:rPr>
        <w:t>和新疆</w:t>
      </w:r>
      <w:r>
        <w:rPr>
          <w:rFonts w:hint="eastAsia" w:hAnsi="宋体"/>
          <w:bCs/>
          <w:color w:val="auto"/>
          <w:sz w:val="24"/>
          <w:lang w:eastAsia="zh-CN"/>
        </w:rPr>
        <w:t>（</w:t>
      </w:r>
      <w:r>
        <w:rPr>
          <w:rFonts w:hint="eastAsia" w:hAnsi="宋体"/>
          <w:bCs/>
          <w:color w:val="auto"/>
          <w:sz w:val="24"/>
          <w:lang w:val="en-US" w:eastAsia="zh-CN"/>
        </w:rPr>
        <w:t>99.72%</w:t>
      </w:r>
      <w:r>
        <w:rPr>
          <w:rFonts w:hint="eastAsia" w:hAnsi="宋体"/>
          <w:bCs/>
          <w:color w:val="auto"/>
          <w:sz w:val="24"/>
          <w:lang w:eastAsia="zh-CN"/>
        </w:rPr>
        <w:t>）</w:t>
      </w:r>
      <w:r>
        <w:rPr>
          <w:rFonts w:hint="eastAsia" w:hAnsi="宋体"/>
          <w:bCs/>
          <w:color w:val="auto"/>
          <w:sz w:val="24"/>
          <w:lang w:val="en-US" w:eastAsia="zh-CN"/>
        </w:rPr>
        <w:t>外，</w:t>
      </w:r>
      <w:r>
        <w:rPr>
          <w:rFonts w:hint="eastAsia" w:hAnsi="宋体"/>
          <w:bCs/>
          <w:color w:val="auto"/>
          <w:sz w:val="24"/>
        </w:rPr>
        <w:t>其他各省（自治区）均达到100%。</w:t>
      </w:r>
      <w:r>
        <w:rPr>
          <w:color w:val="auto"/>
          <w:sz w:val="24"/>
        </w:rPr>
        <w:t>结果见表1。</w:t>
      </w:r>
    </w:p>
    <w:p>
      <w:pPr>
        <w:pStyle w:val="10"/>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Ansi="宋体"/>
          <w:bCs/>
          <w:color w:val="auto"/>
          <w:sz w:val="24"/>
        </w:rPr>
      </w:pPr>
      <w:r>
        <w:rPr>
          <w:rFonts w:hint="eastAsia" w:hAnsi="宋体"/>
          <w:bCs/>
          <w:color w:val="auto"/>
          <w:sz w:val="24"/>
        </w:rPr>
        <w:t>水砷含量</w:t>
      </w:r>
      <w:r>
        <w:rPr>
          <w:rFonts w:hint="eastAsia" w:hAnsi="宋体"/>
          <w:bCs/>
          <w:color w:val="auto"/>
          <w:sz w:val="24"/>
          <w:lang w:val="en-US" w:eastAsia="zh-CN"/>
        </w:rPr>
        <w:t>监测情况</w:t>
      </w:r>
    </w:p>
    <w:p>
      <w:pPr>
        <w:pStyle w:val="10"/>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default"/>
          <w:color w:val="auto"/>
          <w:sz w:val="24"/>
          <w:lang w:val="en-US" w:eastAsia="zh-CN"/>
        </w:rPr>
      </w:pPr>
      <w:r>
        <w:rPr>
          <w:rFonts w:hint="eastAsia"/>
          <w:color w:val="auto"/>
          <w:sz w:val="24"/>
          <w:lang w:val="en-US" w:eastAsia="zh-CN"/>
        </w:rPr>
        <w:t>按照2022年标准，在</w:t>
      </w:r>
      <w:r>
        <w:rPr>
          <w:rFonts w:hint="eastAsia" w:hAnsi="宋体"/>
          <w:bCs/>
          <w:color w:val="auto"/>
          <w:sz w:val="24"/>
        </w:rPr>
        <w:t>2</w:t>
      </w:r>
      <w:r>
        <w:rPr>
          <w:rFonts w:hint="eastAsia"/>
          <w:color w:val="auto"/>
          <w:lang w:val="en-US" w:eastAsia="zh-CN"/>
        </w:rPr>
        <w:t>,</w:t>
      </w:r>
      <w:r>
        <w:rPr>
          <w:rFonts w:hint="eastAsia" w:hAnsi="宋体"/>
          <w:bCs/>
          <w:color w:val="auto"/>
          <w:sz w:val="24"/>
        </w:rPr>
        <w:t>503</w:t>
      </w:r>
      <w:r>
        <w:rPr>
          <w:rFonts w:hint="eastAsia"/>
          <w:color w:val="auto"/>
          <w:sz w:val="24"/>
          <w:lang w:val="en-US" w:eastAsia="zh-CN"/>
        </w:rPr>
        <w:t>个改水村中，水砷</w:t>
      </w:r>
      <w:r>
        <w:rPr>
          <w:rFonts w:hint="eastAsia" w:hAnsi="宋体"/>
          <w:bCs/>
          <w:color w:val="auto"/>
          <w:sz w:val="24"/>
          <w:lang w:val="en-US" w:eastAsia="zh-CN"/>
        </w:rPr>
        <w:t>浓度</w:t>
      </w:r>
      <w:r>
        <w:rPr>
          <w:rFonts w:hint="eastAsia"/>
          <w:color w:val="auto"/>
          <w:sz w:val="24"/>
          <w:lang w:val="en-US" w:eastAsia="zh-CN"/>
        </w:rPr>
        <w:t>合格的村数为2</w:t>
      </w:r>
      <w:r>
        <w:rPr>
          <w:rFonts w:hint="eastAsia"/>
          <w:color w:val="auto"/>
          <w:lang w:val="en-US" w:eastAsia="zh-CN"/>
        </w:rPr>
        <w:t>,</w:t>
      </w:r>
      <w:r>
        <w:rPr>
          <w:rFonts w:hint="eastAsia"/>
          <w:color w:val="auto"/>
          <w:sz w:val="24"/>
          <w:lang w:val="en-US" w:eastAsia="zh-CN"/>
        </w:rPr>
        <w:t>427个，合格率为96.96%，超标村数为76个，超标率为3.04%。水砷超标村分布于山西（15个）、内蒙古（57个）、四川（1个）、甘肃（1个）和新疆（2个），</w:t>
      </w:r>
      <w:r>
        <w:rPr>
          <w:rFonts w:hint="eastAsia" w:hAnsi="宋体"/>
          <w:bCs/>
          <w:color w:val="auto"/>
          <w:sz w:val="24"/>
        </w:rPr>
        <w:t>其他各省（自治区）</w:t>
      </w:r>
      <w:r>
        <w:rPr>
          <w:rFonts w:hint="eastAsia" w:hAnsi="宋体"/>
          <w:bCs/>
          <w:color w:val="auto"/>
          <w:sz w:val="24"/>
          <w:lang w:val="en-US" w:eastAsia="zh-CN"/>
        </w:rPr>
        <w:t>的水砷合格率</w:t>
      </w:r>
      <w:r>
        <w:rPr>
          <w:rFonts w:hint="eastAsia"/>
          <w:color w:val="auto"/>
          <w:sz w:val="24"/>
          <w:lang w:val="en-US" w:eastAsia="zh-CN"/>
        </w:rPr>
        <w:t>为100%。</w:t>
      </w:r>
      <w:r>
        <w:rPr>
          <w:rFonts w:hint="eastAsia" w:hAnsi="宋体"/>
          <w:bCs/>
          <w:color w:val="auto"/>
          <w:sz w:val="24"/>
          <w:lang w:val="en-US" w:eastAsia="zh-CN"/>
        </w:rPr>
        <w:t>若按照2006年标准，在</w:t>
      </w:r>
      <w:bookmarkStart w:id="5" w:name="OLE_LINK11"/>
      <w:r>
        <w:rPr>
          <w:rFonts w:hint="eastAsia" w:hAnsi="宋体"/>
          <w:bCs/>
          <w:color w:val="auto"/>
          <w:sz w:val="24"/>
        </w:rPr>
        <w:t>2</w:t>
      </w:r>
      <w:r>
        <w:rPr>
          <w:rFonts w:hint="eastAsia"/>
          <w:color w:val="auto"/>
          <w:lang w:val="en-US" w:eastAsia="zh-CN"/>
        </w:rPr>
        <w:t>,</w:t>
      </w:r>
      <w:r>
        <w:rPr>
          <w:rFonts w:hint="eastAsia" w:hAnsi="宋体"/>
          <w:bCs/>
          <w:color w:val="auto"/>
          <w:sz w:val="24"/>
        </w:rPr>
        <w:t>503</w:t>
      </w:r>
      <w:bookmarkEnd w:id="5"/>
      <w:r>
        <w:rPr>
          <w:rFonts w:hAnsi="宋体"/>
          <w:bCs/>
          <w:color w:val="auto"/>
          <w:sz w:val="24"/>
        </w:rPr>
        <w:t>个改水村</w:t>
      </w:r>
      <w:r>
        <w:rPr>
          <w:rFonts w:hint="eastAsia" w:hAnsi="宋体"/>
          <w:bCs/>
          <w:color w:val="auto"/>
          <w:sz w:val="24"/>
          <w:lang w:val="en-US" w:eastAsia="zh-CN"/>
        </w:rPr>
        <w:t>中</w:t>
      </w:r>
      <w:r>
        <w:rPr>
          <w:rFonts w:hAnsi="宋体"/>
          <w:bCs/>
          <w:color w:val="auto"/>
          <w:sz w:val="24"/>
        </w:rPr>
        <w:t>，</w:t>
      </w:r>
      <w:r>
        <w:rPr>
          <w:rFonts w:hint="eastAsia" w:hAnsi="宋体"/>
          <w:bCs/>
          <w:color w:val="auto"/>
          <w:sz w:val="24"/>
        </w:rPr>
        <w:t>水砷</w:t>
      </w:r>
      <w:r>
        <w:rPr>
          <w:rFonts w:hint="eastAsia" w:hAnsi="宋体"/>
          <w:bCs/>
          <w:color w:val="auto"/>
          <w:sz w:val="24"/>
          <w:lang w:val="en-US" w:eastAsia="zh-CN"/>
        </w:rPr>
        <w:t>浓度</w:t>
      </w:r>
      <w:r>
        <w:rPr>
          <w:rFonts w:hint="eastAsia" w:hAnsi="宋体"/>
          <w:bCs/>
          <w:color w:val="auto"/>
          <w:sz w:val="24"/>
        </w:rPr>
        <w:t>合格的村数为</w:t>
      </w:r>
      <w:r>
        <w:rPr>
          <w:rFonts w:hint="eastAsia" w:hAnsi="宋体"/>
          <w:bCs/>
          <w:color w:val="auto"/>
          <w:sz w:val="24"/>
          <w:lang w:val="en-US" w:eastAsia="zh-CN"/>
        </w:rPr>
        <w:t>2</w:t>
      </w:r>
      <w:r>
        <w:rPr>
          <w:rFonts w:hint="eastAsia"/>
          <w:color w:val="auto"/>
          <w:lang w:val="en-US" w:eastAsia="zh-CN"/>
        </w:rPr>
        <w:t>,</w:t>
      </w:r>
      <w:r>
        <w:rPr>
          <w:rFonts w:hint="eastAsia" w:hAnsi="宋体"/>
          <w:bCs/>
          <w:color w:val="auto"/>
          <w:sz w:val="24"/>
          <w:lang w:val="en-US" w:eastAsia="zh-CN"/>
        </w:rPr>
        <w:t>460</w:t>
      </w:r>
      <w:r>
        <w:rPr>
          <w:rFonts w:hint="eastAsia" w:hAnsi="宋体"/>
          <w:bCs/>
          <w:color w:val="auto"/>
          <w:sz w:val="24"/>
        </w:rPr>
        <w:t>个，合格率为</w:t>
      </w:r>
      <w:r>
        <w:rPr>
          <w:rFonts w:hint="eastAsia" w:hAnsi="宋体"/>
          <w:bCs/>
          <w:color w:val="auto"/>
          <w:sz w:val="24"/>
          <w:lang w:val="en-US" w:eastAsia="zh-CN"/>
        </w:rPr>
        <w:t>98.28</w:t>
      </w:r>
      <w:r>
        <w:rPr>
          <w:rFonts w:hint="eastAsia" w:hAnsi="宋体"/>
          <w:bCs/>
          <w:color w:val="auto"/>
          <w:sz w:val="24"/>
        </w:rPr>
        <w:t>%</w:t>
      </w:r>
      <w:r>
        <w:rPr>
          <w:rFonts w:hint="eastAsia" w:hAnsi="宋体"/>
          <w:bCs/>
          <w:color w:val="auto"/>
          <w:sz w:val="24"/>
          <w:lang w:eastAsia="zh-CN"/>
        </w:rPr>
        <w:t>，</w:t>
      </w:r>
      <w:r>
        <w:rPr>
          <w:rFonts w:hint="eastAsia" w:hAnsi="宋体"/>
          <w:bCs/>
          <w:color w:val="auto"/>
          <w:sz w:val="24"/>
          <w:lang w:val="en-US" w:eastAsia="zh-CN"/>
        </w:rPr>
        <w:t>超标村数为43个，超标率为1.72%</w:t>
      </w:r>
      <w:r>
        <w:rPr>
          <w:rFonts w:hint="eastAsia" w:hAnsi="宋体"/>
          <w:bCs/>
          <w:color w:val="auto"/>
          <w:sz w:val="24"/>
        </w:rPr>
        <w:t>。水砷超标的村分布于</w:t>
      </w:r>
      <w:r>
        <w:rPr>
          <w:rFonts w:hint="eastAsia" w:hAnsi="宋体"/>
          <w:bCs/>
          <w:color w:val="auto"/>
          <w:sz w:val="24"/>
          <w:lang w:val="en-US" w:eastAsia="zh-CN"/>
        </w:rPr>
        <w:t>山西（3个）、</w:t>
      </w:r>
      <w:r>
        <w:rPr>
          <w:rFonts w:hint="eastAsia" w:hAnsi="宋体"/>
          <w:bCs/>
          <w:color w:val="auto"/>
          <w:sz w:val="24"/>
        </w:rPr>
        <w:t>内蒙古（3</w:t>
      </w:r>
      <w:r>
        <w:rPr>
          <w:rFonts w:hint="eastAsia" w:hAnsi="宋体"/>
          <w:bCs/>
          <w:color w:val="auto"/>
          <w:sz w:val="24"/>
          <w:lang w:val="en-US" w:eastAsia="zh-CN"/>
        </w:rPr>
        <w:t>9</w:t>
      </w:r>
      <w:r>
        <w:rPr>
          <w:rFonts w:hint="eastAsia" w:hAnsi="宋体"/>
          <w:bCs/>
          <w:color w:val="auto"/>
          <w:sz w:val="24"/>
        </w:rPr>
        <w:t>个）和新疆（1个）。水砷合格率除</w:t>
      </w:r>
      <w:r>
        <w:rPr>
          <w:rFonts w:hint="eastAsia" w:hAnsi="宋体"/>
          <w:bCs/>
          <w:color w:val="auto"/>
          <w:sz w:val="24"/>
          <w:lang w:val="en-US" w:eastAsia="zh-CN"/>
        </w:rPr>
        <w:t>山西</w:t>
      </w:r>
      <w:bookmarkStart w:id="6" w:name="OLE_LINK10"/>
      <w:r>
        <w:rPr>
          <w:rFonts w:hint="eastAsia" w:hAnsi="宋体"/>
          <w:bCs/>
          <w:color w:val="auto"/>
          <w:sz w:val="24"/>
          <w:lang w:val="en-US" w:eastAsia="zh-CN"/>
        </w:rPr>
        <w:t>（98.09%）</w:t>
      </w:r>
      <w:bookmarkEnd w:id="6"/>
      <w:r>
        <w:rPr>
          <w:rFonts w:hint="eastAsia" w:hAnsi="宋体"/>
          <w:bCs/>
          <w:color w:val="auto"/>
          <w:sz w:val="24"/>
          <w:lang w:val="en-US" w:eastAsia="zh-CN"/>
        </w:rPr>
        <w:t>、</w:t>
      </w:r>
      <w:r>
        <w:rPr>
          <w:rFonts w:hint="eastAsia" w:hAnsi="宋体"/>
          <w:bCs/>
          <w:color w:val="auto"/>
          <w:sz w:val="24"/>
        </w:rPr>
        <w:t>内蒙古</w:t>
      </w:r>
      <w:r>
        <w:rPr>
          <w:rFonts w:hint="eastAsia" w:hAnsi="宋体"/>
          <w:bCs/>
          <w:color w:val="auto"/>
          <w:sz w:val="24"/>
          <w:lang w:val="en-US" w:eastAsia="zh-CN"/>
        </w:rPr>
        <w:t>（96.65%）</w:t>
      </w:r>
      <w:r>
        <w:rPr>
          <w:rFonts w:hint="eastAsia" w:hAnsi="宋体"/>
          <w:bCs/>
          <w:color w:val="auto"/>
          <w:sz w:val="24"/>
        </w:rPr>
        <w:t>和新疆</w:t>
      </w:r>
      <w:r>
        <w:rPr>
          <w:rFonts w:hint="eastAsia" w:hAnsi="宋体"/>
          <w:bCs/>
          <w:color w:val="auto"/>
          <w:sz w:val="24"/>
          <w:lang w:val="en-US" w:eastAsia="zh-CN"/>
        </w:rPr>
        <w:t>（99.72%）</w:t>
      </w:r>
      <w:r>
        <w:rPr>
          <w:rFonts w:hint="eastAsia" w:hAnsi="宋体"/>
          <w:bCs/>
          <w:color w:val="auto"/>
          <w:sz w:val="24"/>
        </w:rPr>
        <w:t>外，其他各省（自治区）均达到100%。</w:t>
      </w:r>
      <w:r>
        <w:rPr>
          <w:color w:val="auto"/>
          <w:sz w:val="24"/>
        </w:rPr>
        <w:t>结果见表1。</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hAnsi="宋体" w:eastAsia="宋体"/>
          <w:b/>
          <w:lang w:val="en-US" w:eastAsia="zh-CN"/>
        </w:rPr>
      </w:pPr>
      <w:r>
        <w:rPr>
          <w:rFonts w:hint="eastAsia" w:hAnsi="宋体"/>
          <w:b/>
        </w:rPr>
        <w:t>（二）</w:t>
      </w:r>
      <w:r>
        <w:rPr>
          <w:rFonts w:hAnsi="宋体"/>
          <w:b/>
        </w:rPr>
        <w:t>未改水村水</w:t>
      </w:r>
      <w:r>
        <w:rPr>
          <w:rFonts w:hint="eastAsia" w:hAnsi="宋体"/>
          <w:b/>
        </w:rPr>
        <w:t>砷</w:t>
      </w:r>
      <w:r>
        <w:rPr>
          <w:rFonts w:hAnsi="宋体"/>
          <w:b/>
        </w:rPr>
        <w:t>含量</w:t>
      </w:r>
      <w:r>
        <w:rPr>
          <w:rFonts w:hint="eastAsia" w:hAnsi="宋体"/>
          <w:b/>
          <w:lang w:val="en-US" w:eastAsia="zh-CN"/>
        </w:rPr>
        <w:t>分布</w:t>
      </w:r>
    </w:p>
    <w:p>
      <w:pPr>
        <w:pStyle w:val="10"/>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hAnsi="宋体" w:eastAsia="宋体"/>
          <w:bCs/>
          <w:color w:val="auto"/>
          <w:sz w:val="24"/>
          <w:lang w:val="en-US" w:eastAsia="zh-CN"/>
        </w:rPr>
      </w:pPr>
      <w:r>
        <w:rPr>
          <w:rFonts w:hAnsi="宋体"/>
          <w:bCs/>
          <w:color w:val="auto"/>
          <w:sz w:val="24"/>
        </w:rPr>
        <w:t>本年度监测</w:t>
      </w:r>
      <w:r>
        <w:rPr>
          <w:rFonts w:hint="eastAsia" w:hAnsi="宋体"/>
          <w:bCs/>
          <w:color w:val="auto"/>
          <w:sz w:val="24"/>
          <w:highlight w:val="none"/>
          <w:lang w:val="en-US" w:eastAsia="zh-CN"/>
        </w:rPr>
        <w:t>的9</w:t>
      </w:r>
      <w:r>
        <w:rPr>
          <w:rFonts w:hAnsi="宋体"/>
          <w:bCs/>
          <w:color w:val="auto"/>
          <w:sz w:val="24"/>
          <w:highlight w:val="none"/>
        </w:rPr>
        <w:t>个未改水村</w:t>
      </w:r>
      <w:r>
        <w:rPr>
          <w:rFonts w:hint="eastAsia" w:hAnsi="宋体"/>
          <w:bCs/>
          <w:color w:val="auto"/>
          <w:sz w:val="24"/>
          <w:highlight w:val="none"/>
          <w:lang w:val="en-US" w:eastAsia="zh-CN"/>
        </w:rPr>
        <w:t>均来自</w:t>
      </w:r>
      <w:r>
        <w:rPr>
          <w:rFonts w:hint="eastAsia" w:hAnsi="宋体"/>
          <w:bCs/>
          <w:color w:val="auto"/>
          <w:sz w:val="24"/>
          <w:highlight w:val="none"/>
        </w:rPr>
        <w:t>于</w:t>
      </w:r>
      <w:r>
        <w:rPr>
          <w:rFonts w:hint="eastAsia" w:hAnsi="宋体"/>
          <w:bCs/>
          <w:color w:val="auto"/>
          <w:sz w:val="24"/>
        </w:rPr>
        <w:t>内蒙古，</w:t>
      </w:r>
      <w:r>
        <w:rPr>
          <w:rFonts w:hint="eastAsia" w:hAnsi="宋体"/>
          <w:bCs/>
          <w:color w:val="auto"/>
          <w:sz w:val="24"/>
          <w:lang w:val="en-US" w:eastAsia="zh-CN"/>
        </w:rPr>
        <w:t>共调查59</w:t>
      </w:r>
      <w:r>
        <w:rPr>
          <w:rFonts w:hint="eastAsia" w:hAnsi="宋体"/>
          <w:bCs/>
          <w:color w:val="auto"/>
          <w:sz w:val="24"/>
        </w:rPr>
        <w:t>户，检测水砷范围为0.000</w:t>
      </w:r>
      <w:r>
        <w:rPr>
          <w:rFonts w:hint="eastAsia" w:hAnsi="宋体"/>
          <w:bCs/>
          <w:color w:val="auto"/>
          <w:sz w:val="24"/>
          <w:lang w:val="en-US" w:eastAsia="zh-CN"/>
        </w:rPr>
        <w:t>9</w:t>
      </w:r>
      <w:r>
        <w:rPr>
          <w:rFonts w:hint="eastAsia" w:hAnsi="宋体"/>
          <w:bCs/>
          <w:color w:val="auto"/>
          <w:sz w:val="24"/>
        </w:rPr>
        <w:t>-0.0</w:t>
      </w:r>
      <w:r>
        <w:rPr>
          <w:rFonts w:hint="eastAsia" w:hAnsi="宋体"/>
          <w:bCs/>
          <w:color w:val="auto"/>
          <w:sz w:val="24"/>
          <w:lang w:val="en-US" w:eastAsia="zh-CN"/>
        </w:rPr>
        <w:t>279</w:t>
      </w:r>
      <w:r>
        <w:rPr>
          <w:rFonts w:hint="eastAsia" w:hAnsi="宋体"/>
          <w:bCs/>
          <w:color w:val="auto"/>
          <w:sz w:val="24"/>
        </w:rPr>
        <w:t>mg/L，水砷浓度≤0.01mg/L的户数为</w:t>
      </w:r>
      <w:r>
        <w:rPr>
          <w:rFonts w:hint="eastAsia" w:hAnsi="宋体"/>
          <w:bCs/>
          <w:color w:val="auto"/>
          <w:sz w:val="24"/>
          <w:lang w:val="en-US" w:eastAsia="zh-CN"/>
        </w:rPr>
        <w:t>55</w:t>
      </w:r>
      <w:r>
        <w:rPr>
          <w:rFonts w:hint="eastAsia" w:hAnsi="宋体"/>
          <w:bCs/>
          <w:color w:val="auto"/>
          <w:sz w:val="24"/>
        </w:rPr>
        <w:t>户，水砷浓度&gt;0.01mg/L</w:t>
      </w:r>
      <w:r>
        <w:rPr>
          <w:rFonts w:hint="eastAsia" w:hAnsi="宋体"/>
          <w:bCs/>
          <w:color w:val="auto"/>
          <w:sz w:val="24"/>
          <w:lang w:val="en-US" w:eastAsia="zh-CN"/>
        </w:rPr>
        <w:t>的</w:t>
      </w:r>
      <w:r>
        <w:rPr>
          <w:rFonts w:hint="eastAsia" w:hAnsi="宋体"/>
          <w:bCs/>
          <w:color w:val="auto"/>
          <w:sz w:val="24"/>
        </w:rPr>
        <w:t>户数为</w:t>
      </w:r>
      <w:r>
        <w:rPr>
          <w:rFonts w:hint="eastAsia" w:hAnsi="宋体"/>
          <w:bCs/>
          <w:color w:val="auto"/>
          <w:sz w:val="24"/>
          <w:lang w:val="en-US" w:eastAsia="zh-CN"/>
        </w:rPr>
        <w:t>4</w:t>
      </w:r>
      <w:r>
        <w:rPr>
          <w:rFonts w:hint="eastAsia" w:hAnsi="宋体"/>
          <w:bCs/>
          <w:color w:val="auto"/>
          <w:sz w:val="24"/>
        </w:rPr>
        <w:t>户，</w:t>
      </w:r>
      <w:r>
        <w:rPr>
          <w:rFonts w:hint="eastAsia" w:hAnsi="宋体"/>
          <w:bCs/>
          <w:color w:val="auto"/>
          <w:sz w:val="24"/>
          <w:lang w:val="en-US" w:eastAsia="zh-CN"/>
        </w:rPr>
        <w:t>分别来自4个不同的自然村。</w:t>
      </w:r>
      <w:r>
        <w:rPr>
          <w:rFonts w:hint="eastAsia" w:hAnsi="宋体"/>
          <w:bCs/>
          <w:color w:val="auto"/>
          <w:sz w:val="24"/>
        </w:rPr>
        <w:t>按照限值0.0</w:t>
      </w:r>
      <w:r>
        <w:rPr>
          <w:rFonts w:hint="eastAsia" w:hAnsi="宋体"/>
          <w:bCs/>
          <w:color w:val="auto"/>
          <w:sz w:val="24"/>
          <w:lang w:val="en-US" w:eastAsia="zh-CN"/>
        </w:rPr>
        <w:t>1</w:t>
      </w:r>
      <w:r>
        <w:rPr>
          <w:rFonts w:hint="eastAsia" w:hAnsi="宋体"/>
          <w:bCs/>
          <w:color w:val="auto"/>
          <w:sz w:val="24"/>
        </w:rPr>
        <w:t>mg/L统计，水砷合格率为</w:t>
      </w:r>
      <w:r>
        <w:rPr>
          <w:rFonts w:hint="eastAsia" w:hAnsi="宋体"/>
          <w:bCs/>
          <w:color w:val="auto"/>
          <w:sz w:val="24"/>
          <w:lang w:val="en-US" w:eastAsia="zh-CN"/>
        </w:rPr>
        <w:t>93.22</w:t>
      </w:r>
      <w:r>
        <w:rPr>
          <w:rFonts w:hint="eastAsia" w:hAnsi="宋体"/>
          <w:bCs/>
          <w:color w:val="auto"/>
          <w:sz w:val="24"/>
        </w:rPr>
        <w:t>%。</w:t>
      </w:r>
      <w:r>
        <w:rPr>
          <w:rFonts w:hint="eastAsia" w:hAnsi="宋体"/>
          <w:bCs/>
          <w:color w:val="auto"/>
          <w:sz w:val="24"/>
          <w:lang w:val="en-US" w:eastAsia="zh-CN"/>
        </w:rPr>
        <w:t>若按照限值</w:t>
      </w:r>
      <w:r>
        <w:rPr>
          <w:rFonts w:hint="eastAsia" w:hAnsi="宋体"/>
          <w:bCs/>
          <w:color w:val="auto"/>
          <w:sz w:val="24"/>
        </w:rPr>
        <w:t>0.0</w:t>
      </w:r>
      <w:r>
        <w:rPr>
          <w:rFonts w:hint="eastAsia" w:hAnsi="宋体"/>
          <w:bCs/>
          <w:color w:val="auto"/>
          <w:sz w:val="24"/>
          <w:lang w:val="en-US" w:eastAsia="zh-CN"/>
        </w:rPr>
        <w:t>5</w:t>
      </w:r>
      <w:r>
        <w:rPr>
          <w:rFonts w:hint="eastAsia" w:hAnsi="宋体"/>
          <w:bCs/>
          <w:color w:val="auto"/>
          <w:sz w:val="24"/>
        </w:rPr>
        <w:t>mg/L</w:t>
      </w:r>
      <w:r>
        <w:rPr>
          <w:rFonts w:hint="eastAsia" w:hAnsi="宋体"/>
          <w:bCs/>
          <w:color w:val="auto"/>
          <w:sz w:val="24"/>
          <w:lang w:val="en-US" w:eastAsia="zh-CN"/>
        </w:rPr>
        <w:t>统计，</w:t>
      </w:r>
      <w:r>
        <w:rPr>
          <w:rFonts w:hint="eastAsia" w:hAnsi="宋体"/>
          <w:bCs/>
          <w:color w:val="auto"/>
          <w:sz w:val="24"/>
        </w:rPr>
        <w:t>水砷合格率为</w:t>
      </w:r>
      <w:r>
        <w:rPr>
          <w:rFonts w:hint="eastAsia" w:hAnsi="宋体"/>
          <w:bCs/>
          <w:color w:val="auto"/>
          <w:sz w:val="24"/>
          <w:lang w:val="en-US" w:eastAsia="zh-CN"/>
        </w:rPr>
        <w:t>100</w:t>
      </w:r>
      <w:r>
        <w:rPr>
          <w:rFonts w:hint="eastAsia" w:hAnsi="宋体"/>
          <w:bCs/>
          <w:color w:val="auto"/>
          <w:sz w:val="24"/>
        </w:rPr>
        <w:t>%。</w:t>
      </w:r>
    </w:p>
    <w:p>
      <w:pPr>
        <w:keepNext w:val="0"/>
        <w:keepLines w:val="0"/>
        <w:pageBreakBefore w:val="0"/>
        <w:kinsoku/>
        <w:wordWrap/>
        <w:overflowPunct/>
        <w:topLinePunct w:val="0"/>
        <w:autoSpaceDE/>
        <w:autoSpaceDN/>
        <w:bidi w:val="0"/>
        <w:spacing w:line="360" w:lineRule="auto"/>
        <w:ind w:firstLine="470" w:firstLineChars="196"/>
        <w:textAlignment w:val="auto"/>
        <w:rPr>
          <w:b/>
          <w:color w:val="auto"/>
        </w:rPr>
      </w:pPr>
      <w:r>
        <w:rPr>
          <w:b/>
          <w:color w:val="auto"/>
        </w:rPr>
        <w:t>（三）</w:t>
      </w:r>
      <w:r>
        <w:rPr>
          <w:rFonts w:hint="eastAsia"/>
          <w:b/>
          <w:color w:val="auto"/>
        </w:rPr>
        <w:t>砷中毒</w:t>
      </w:r>
      <w:r>
        <w:rPr>
          <w:b/>
          <w:color w:val="auto"/>
        </w:rPr>
        <w:t>病情监测结果</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hAnsi="宋体"/>
          <w:bCs/>
          <w:color w:val="auto"/>
          <w:highlight w:val="none"/>
        </w:rPr>
      </w:pPr>
      <w:bookmarkStart w:id="7" w:name="_Hlk41951284"/>
      <w:bookmarkStart w:id="8" w:name="_Hlk518046574"/>
      <w:r>
        <w:rPr>
          <w:rFonts w:hint="eastAsia" w:hAnsi="宋体"/>
          <w:bCs/>
          <w:color w:val="auto"/>
          <w:lang w:val="en-US" w:eastAsia="zh-CN"/>
        </w:rPr>
        <w:t>本年度14</w:t>
      </w:r>
      <w:r>
        <w:rPr>
          <w:rFonts w:hint="eastAsia" w:hAnsi="宋体"/>
          <w:bCs/>
          <w:color w:val="auto"/>
        </w:rPr>
        <w:t>个省（自治区）在饮水型砷中毒病区村和高砷村进行了砷中毒病情调查，总检查人数</w:t>
      </w:r>
      <w:r>
        <w:rPr>
          <w:rFonts w:hint="eastAsia" w:hAnsi="宋体"/>
          <w:bCs/>
          <w:color w:val="auto"/>
          <w:lang w:val="en-US" w:eastAsia="zh-CN"/>
        </w:rPr>
        <w:t>915</w:t>
      </w:r>
      <w:r>
        <w:rPr>
          <w:rFonts w:hint="eastAsia"/>
          <w:color w:val="auto"/>
          <w:lang w:val="en-US" w:eastAsia="zh-CN"/>
        </w:rPr>
        <w:t>,</w:t>
      </w:r>
      <w:r>
        <w:rPr>
          <w:rFonts w:hint="eastAsia" w:hAnsi="宋体"/>
          <w:bCs/>
          <w:color w:val="auto"/>
          <w:lang w:val="en-US" w:eastAsia="zh-CN"/>
        </w:rPr>
        <w:t>534</w:t>
      </w:r>
      <w:r>
        <w:rPr>
          <w:rFonts w:hint="eastAsia" w:hAnsi="宋体"/>
          <w:bCs/>
          <w:color w:val="auto"/>
        </w:rPr>
        <w:t>人，检出病例总数</w:t>
      </w:r>
      <w:r>
        <w:rPr>
          <w:rFonts w:hint="eastAsia" w:hAnsi="宋体"/>
          <w:bCs/>
          <w:color w:val="auto"/>
          <w:lang w:val="en-US" w:eastAsia="zh-CN"/>
        </w:rPr>
        <w:t>3</w:t>
      </w:r>
      <w:r>
        <w:rPr>
          <w:rFonts w:hint="eastAsia"/>
          <w:color w:val="auto"/>
          <w:lang w:val="en-US" w:eastAsia="zh-CN"/>
        </w:rPr>
        <w:t>,</w:t>
      </w:r>
      <w:r>
        <w:rPr>
          <w:rFonts w:hint="eastAsia" w:hAnsi="宋体"/>
          <w:bCs/>
          <w:color w:val="auto"/>
          <w:lang w:val="en-US" w:eastAsia="zh-CN"/>
        </w:rPr>
        <w:t>85</w:t>
      </w:r>
      <w:r>
        <w:rPr>
          <w:rFonts w:hint="default" w:hAnsi="宋体"/>
          <w:bCs/>
          <w:color w:val="auto"/>
          <w:lang w:eastAsia="zh-CN"/>
        </w:rPr>
        <w:t>4</w:t>
      </w:r>
      <w:r>
        <w:rPr>
          <w:rFonts w:hint="eastAsia" w:hAnsi="宋体"/>
          <w:bCs/>
          <w:color w:val="auto"/>
        </w:rPr>
        <w:t>人，检出率为0.</w:t>
      </w:r>
      <w:r>
        <w:rPr>
          <w:rFonts w:hint="eastAsia" w:hAnsi="宋体"/>
          <w:bCs/>
          <w:color w:val="auto"/>
          <w:lang w:val="en-US" w:eastAsia="zh-CN"/>
        </w:rPr>
        <w:t>42</w:t>
      </w:r>
      <w:r>
        <w:rPr>
          <w:rFonts w:hint="eastAsia" w:hAnsi="宋体"/>
          <w:bCs/>
          <w:color w:val="auto"/>
        </w:rPr>
        <w:t>%。</w:t>
      </w:r>
      <w:r>
        <w:rPr>
          <w:rFonts w:hint="eastAsia" w:hAnsi="宋体"/>
          <w:bCs/>
          <w:color w:val="auto"/>
          <w:lang w:val="en-US" w:eastAsia="zh-CN"/>
        </w:rPr>
        <w:t>检出病例</w:t>
      </w:r>
      <w:r>
        <w:rPr>
          <w:rFonts w:hint="eastAsia" w:hAnsi="宋体"/>
          <w:bCs/>
          <w:color w:val="auto"/>
        </w:rPr>
        <w:t>中</w:t>
      </w:r>
      <w:r>
        <w:rPr>
          <w:rFonts w:hint="eastAsia" w:hAnsi="宋体"/>
          <w:bCs/>
          <w:color w:val="auto"/>
          <w:lang w:eastAsia="zh-CN"/>
        </w:rPr>
        <w:t>，</w:t>
      </w:r>
      <w:r>
        <w:rPr>
          <w:rFonts w:hint="eastAsia" w:hAnsi="宋体"/>
          <w:bCs/>
          <w:color w:val="auto"/>
        </w:rPr>
        <w:t>轻度病例3</w:t>
      </w:r>
      <w:r>
        <w:rPr>
          <w:rFonts w:hint="eastAsia"/>
          <w:color w:val="auto"/>
          <w:lang w:val="en-US" w:eastAsia="zh-CN"/>
        </w:rPr>
        <w:t>,</w:t>
      </w:r>
      <w:r>
        <w:rPr>
          <w:rFonts w:hint="eastAsia" w:hAnsi="宋体"/>
          <w:bCs/>
          <w:color w:val="auto"/>
        </w:rPr>
        <w:t>261例，占84.</w:t>
      </w:r>
      <w:r>
        <w:rPr>
          <w:rFonts w:hint="eastAsia" w:hAnsi="宋体"/>
          <w:bCs/>
          <w:color w:val="auto"/>
          <w:lang w:val="en-US" w:eastAsia="zh-CN"/>
        </w:rPr>
        <w:t>6</w:t>
      </w:r>
      <w:r>
        <w:rPr>
          <w:rFonts w:hint="default" w:hAnsi="宋体"/>
          <w:bCs/>
          <w:color w:val="auto"/>
          <w:lang w:eastAsia="zh-CN"/>
        </w:rPr>
        <w:t>1</w:t>
      </w:r>
      <w:r>
        <w:rPr>
          <w:rFonts w:hint="eastAsia" w:hAnsi="宋体"/>
          <w:bCs/>
          <w:color w:val="auto"/>
        </w:rPr>
        <w:t>%；中度病例</w:t>
      </w:r>
      <w:r>
        <w:rPr>
          <w:rFonts w:hint="eastAsia" w:hAnsi="宋体"/>
          <w:bCs/>
          <w:color w:val="auto"/>
          <w:lang w:val="en-US" w:eastAsia="zh-CN"/>
        </w:rPr>
        <w:t>47</w:t>
      </w:r>
      <w:r>
        <w:rPr>
          <w:rFonts w:hint="default" w:hAnsi="宋体"/>
          <w:bCs/>
          <w:color w:val="auto"/>
          <w:lang w:eastAsia="zh-CN"/>
        </w:rPr>
        <w:t>7</w:t>
      </w:r>
      <w:r>
        <w:rPr>
          <w:rFonts w:hint="eastAsia" w:hAnsi="宋体"/>
          <w:bCs/>
          <w:color w:val="auto"/>
        </w:rPr>
        <w:t>例，占12.</w:t>
      </w:r>
      <w:r>
        <w:rPr>
          <w:rFonts w:hint="eastAsia" w:hAnsi="宋体"/>
          <w:bCs/>
          <w:color w:val="auto"/>
          <w:lang w:val="en-US" w:eastAsia="zh-CN"/>
        </w:rPr>
        <w:t>3</w:t>
      </w:r>
      <w:r>
        <w:rPr>
          <w:rFonts w:hint="default" w:hAnsi="宋体"/>
          <w:bCs/>
          <w:color w:val="auto"/>
          <w:lang w:eastAsia="zh-CN"/>
        </w:rPr>
        <w:t>8</w:t>
      </w:r>
      <w:r>
        <w:rPr>
          <w:rFonts w:hint="eastAsia" w:hAnsi="宋体"/>
          <w:bCs/>
          <w:color w:val="auto"/>
        </w:rPr>
        <w:t>%；重度病例11</w:t>
      </w:r>
      <w:r>
        <w:rPr>
          <w:rFonts w:hint="eastAsia" w:hAnsi="宋体"/>
          <w:bCs/>
          <w:color w:val="auto"/>
          <w:lang w:val="en-US" w:eastAsia="zh-CN"/>
        </w:rPr>
        <w:t>0</w:t>
      </w:r>
      <w:r>
        <w:rPr>
          <w:rFonts w:hint="eastAsia" w:hAnsi="宋体"/>
          <w:bCs/>
          <w:color w:val="auto"/>
        </w:rPr>
        <w:t>例，占2.</w:t>
      </w:r>
      <w:r>
        <w:rPr>
          <w:rFonts w:hint="eastAsia" w:hAnsi="宋体"/>
          <w:bCs/>
          <w:color w:val="auto"/>
          <w:lang w:val="en-US" w:eastAsia="zh-CN"/>
        </w:rPr>
        <w:t>85</w:t>
      </w:r>
      <w:r>
        <w:rPr>
          <w:rFonts w:hint="eastAsia" w:hAnsi="宋体"/>
          <w:bCs/>
          <w:color w:val="auto"/>
        </w:rPr>
        <w:t>%；皮肤癌患者</w:t>
      </w:r>
      <w:r>
        <w:rPr>
          <w:rFonts w:hint="eastAsia" w:hAnsi="宋体"/>
          <w:bCs/>
          <w:color w:val="auto"/>
          <w:lang w:val="en-US" w:eastAsia="zh-CN"/>
        </w:rPr>
        <w:t>6</w:t>
      </w:r>
      <w:r>
        <w:rPr>
          <w:rFonts w:hint="eastAsia" w:hAnsi="宋体"/>
          <w:bCs/>
          <w:color w:val="auto"/>
        </w:rPr>
        <w:t>例，</w:t>
      </w:r>
      <w:r>
        <w:rPr>
          <w:rFonts w:hint="eastAsia" w:hAnsi="宋体"/>
          <w:bCs/>
          <w:color w:val="auto"/>
          <w:lang w:val="en-US" w:eastAsia="zh-CN"/>
        </w:rPr>
        <w:t>占0.16%</w:t>
      </w:r>
      <w:r>
        <w:rPr>
          <w:rFonts w:hint="eastAsia" w:hAnsi="宋体"/>
          <w:bCs/>
          <w:color w:val="auto"/>
        </w:rPr>
        <w:t>。</w:t>
      </w:r>
      <w:bookmarkStart w:id="9" w:name="_Hlk518489947"/>
      <w:r>
        <w:rPr>
          <w:rFonts w:hint="eastAsia" w:hAnsi="宋体"/>
          <w:bCs/>
          <w:color w:val="auto"/>
          <w:lang w:val="en-US" w:eastAsia="zh-CN"/>
        </w:rPr>
        <w:t>另外，全国</w:t>
      </w:r>
      <w:r>
        <w:rPr>
          <w:rFonts w:hint="eastAsia" w:hAnsi="宋体"/>
          <w:bCs/>
          <w:color w:val="auto"/>
        </w:rPr>
        <w:t>有</w:t>
      </w:r>
      <w:r>
        <w:rPr>
          <w:rFonts w:hint="eastAsia" w:hAnsi="宋体"/>
          <w:bCs/>
          <w:color w:val="auto"/>
          <w:lang w:val="en-US" w:eastAsia="zh-CN"/>
        </w:rPr>
        <w:t>地方性砷中毒</w:t>
      </w:r>
      <w:r>
        <w:rPr>
          <w:rFonts w:hint="eastAsia" w:hAnsi="宋体"/>
          <w:bCs/>
          <w:color w:val="auto"/>
        </w:rPr>
        <w:t>可疑</w:t>
      </w:r>
      <w:r>
        <w:rPr>
          <w:rFonts w:hint="eastAsia" w:hAnsi="宋体"/>
          <w:bCs/>
          <w:color w:val="auto"/>
          <w:lang w:val="en-US" w:eastAsia="zh-CN"/>
        </w:rPr>
        <w:t>患者1</w:t>
      </w:r>
      <w:r>
        <w:rPr>
          <w:rFonts w:hint="eastAsia"/>
          <w:color w:val="auto"/>
          <w:lang w:val="en-US" w:eastAsia="zh-CN"/>
        </w:rPr>
        <w:t>,</w:t>
      </w:r>
      <w:r>
        <w:rPr>
          <w:rFonts w:hint="eastAsia" w:hAnsi="宋体"/>
          <w:bCs/>
          <w:color w:val="auto"/>
          <w:lang w:val="en-US" w:eastAsia="zh-CN"/>
        </w:rPr>
        <w:t>003</w:t>
      </w:r>
      <w:r>
        <w:rPr>
          <w:rFonts w:hint="eastAsia" w:hAnsi="宋体"/>
          <w:bCs/>
          <w:color w:val="auto"/>
        </w:rPr>
        <w:t>例。</w:t>
      </w:r>
      <w:r>
        <w:rPr>
          <w:rFonts w:hint="eastAsia" w:hAnsi="宋体"/>
          <w:bCs/>
          <w:color w:val="auto"/>
          <w:lang w:val="en-US" w:eastAsia="zh-CN"/>
        </w:rPr>
        <w:t>本年</w:t>
      </w:r>
      <w:r>
        <w:rPr>
          <w:rFonts w:hint="eastAsia" w:hAnsi="宋体"/>
          <w:bCs/>
          <w:color w:val="auto"/>
          <w:highlight w:val="none"/>
          <w:lang w:val="en-US" w:eastAsia="zh-CN"/>
        </w:rPr>
        <w:t>度</w:t>
      </w:r>
      <w:r>
        <w:rPr>
          <w:rFonts w:hint="eastAsia" w:hAnsi="宋体"/>
          <w:bCs/>
          <w:color w:val="auto"/>
          <w:highlight w:val="none"/>
        </w:rPr>
        <w:t>未发现</w:t>
      </w:r>
      <w:r>
        <w:rPr>
          <w:rFonts w:hint="eastAsia" w:hAnsi="宋体"/>
          <w:bCs/>
          <w:color w:val="auto"/>
          <w:highlight w:val="none"/>
          <w:lang w:val="en-US" w:eastAsia="zh-CN"/>
        </w:rPr>
        <w:t>确诊的砷中毒</w:t>
      </w:r>
      <w:r>
        <w:rPr>
          <w:rFonts w:hint="eastAsia" w:hAnsi="宋体"/>
          <w:bCs/>
          <w:color w:val="auto"/>
          <w:highlight w:val="none"/>
        </w:rPr>
        <w:t>新发病例。结果见表2。</w:t>
      </w:r>
    </w:p>
    <w:p>
      <w:pPr>
        <w:keepNext w:val="0"/>
        <w:keepLines w:val="0"/>
        <w:pageBreakBefore w:val="0"/>
        <w:kinsoku/>
        <w:wordWrap/>
        <w:overflowPunct/>
        <w:topLinePunct w:val="0"/>
        <w:autoSpaceDE/>
        <w:autoSpaceDN/>
        <w:bidi w:val="0"/>
        <w:spacing w:line="360" w:lineRule="auto"/>
        <w:ind w:firstLine="470" w:firstLineChars="196"/>
        <w:textAlignment w:val="auto"/>
        <w:rPr>
          <w:rFonts w:ascii="宋体" w:hAnsi="宋体"/>
          <w:b/>
          <w:highlight w:val="none"/>
        </w:rPr>
      </w:pPr>
      <w:r>
        <w:rPr>
          <w:rFonts w:hint="eastAsia" w:ascii="宋体" w:hAnsi="宋体"/>
          <w:b/>
          <w:highlight w:val="none"/>
        </w:rPr>
        <w:t>（</w:t>
      </w:r>
      <w:r>
        <w:rPr>
          <w:rFonts w:hint="eastAsia" w:ascii="宋体" w:hAnsi="宋体"/>
          <w:b/>
          <w:highlight w:val="none"/>
          <w:lang w:val="en-US" w:eastAsia="zh-CN"/>
        </w:rPr>
        <w:t>四</w:t>
      </w:r>
      <w:r>
        <w:rPr>
          <w:rFonts w:hint="eastAsia" w:ascii="宋体" w:hAnsi="宋体"/>
          <w:b/>
          <w:highlight w:val="none"/>
        </w:rPr>
        <w:t>）</w:t>
      </w:r>
      <w:r>
        <w:rPr>
          <w:rFonts w:hint="eastAsia" w:ascii="宋体" w:hAnsi="宋体"/>
          <w:b/>
          <w:highlight w:val="none"/>
          <w:lang w:val="en-US" w:eastAsia="zh-CN"/>
        </w:rPr>
        <w:t>消除</w:t>
      </w:r>
      <w:r>
        <w:rPr>
          <w:rFonts w:hint="eastAsia" w:ascii="宋体" w:hAnsi="宋体"/>
          <w:b/>
          <w:highlight w:val="none"/>
        </w:rPr>
        <w:t>评价结果</w:t>
      </w:r>
    </w:p>
    <w:p>
      <w:pPr>
        <w:keepNext w:val="0"/>
        <w:keepLines w:val="0"/>
        <w:pageBreakBefore w:val="0"/>
        <w:kinsoku/>
        <w:wordWrap/>
        <w:overflowPunct/>
        <w:topLinePunct w:val="0"/>
        <w:autoSpaceDE/>
        <w:autoSpaceDN/>
        <w:bidi w:val="0"/>
        <w:spacing w:line="360" w:lineRule="auto"/>
        <w:ind w:firstLine="470" w:firstLineChars="196"/>
        <w:textAlignment w:val="auto"/>
        <w:rPr>
          <w:rFonts w:hint="eastAsia"/>
          <w:color w:val="auto"/>
          <w:lang w:val="en-US" w:eastAsia="zh-CN"/>
        </w:rPr>
      </w:pPr>
      <w:r>
        <w:rPr>
          <w:rFonts w:hint="eastAsia"/>
          <w:color w:val="auto"/>
          <w:highlight w:val="none"/>
          <w:lang w:val="en-US" w:eastAsia="zh-CN"/>
        </w:rPr>
        <w:t>本年度全国饮水型砷中毒病区（高砷）村未有确诊的</w:t>
      </w:r>
      <w:r>
        <w:rPr>
          <w:rFonts w:hint="eastAsia"/>
          <w:color w:val="auto"/>
          <w:highlight w:val="none"/>
        </w:rPr>
        <w:t>砷中毒新发病例</w:t>
      </w:r>
      <w:r>
        <w:rPr>
          <w:rFonts w:hint="eastAsia"/>
          <w:color w:val="auto"/>
          <w:highlight w:val="none"/>
          <w:lang w:val="en-US" w:eastAsia="zh-CN"/>
        </w:rPr>
        <w:t>，依</w:t>
      </w:r>
      <w:r>
        <w:rPr>
          <w:rFonts w:hint="eastAsia"/>
          <w:color w:val="auto"/>
          <w:lang w:val="en-US" w:eastAsia="zh-CN"/>
        </w:rPr>
        <w:t>据水砷含量进行消除达标的判定。依据2022年饮用水砷含量标准，在2,512个饮水型砷中毒病区（高砷）村中</w:t>
      </w:r>
      <w:r>
        <w:rPr>
          <w:rFonts w:hint="eastAsia"/>
          <w:color w:val="auto"/>
        </w:rPr>
        <w:t>，</w:t>
      </w:r>
      <w:r>
        <w:rPr>
          <w:rFonts w:hint="eastAsia"/>
          <w:color w:val="auto"/>
          <w:lang w:val="en-US" w:eastAsia="zh-CN"/>
        </w:rPr>
        <w:t>达到消除标准的村为2,432个（2,427个为改水村，5个为未改水村），消除率为96.82%。全国120个病区县（高砷县）中，有106个县达到消除标准，消除率为88.33%；未达到消除标准的县有14个，分布于山西（6个）、内蒙古（6个）、四川（2个）和甘肃（7个）。</w:t>
      </w:r>
    </w:p>
    <w:p>
      <w:pPr>
        <w:keepNext w:val="0"/>
        <w:keepLines w:val="0"/>
        <w:pageBreakBefore w:val="0"/>
        <w:kinsoku/>
        <w:wordWrap/>
        <w:overflowPunct/>
        <w:topLinePunct w:val="0"/>
        <w:autoSpaceDE/>
        <w:autoSpaceDN/>
        <w:bidi w:val="0"/>
        <w:spacing w:line="360" w:lineRule="auto"/>
        <w:ind w:firstLine="470" w:firstLineChars="196"/>
        <w:textAlignment w:val="auto"/>
        <w:rPr>
          <w:rFonts w:hint="eastAsia"/>
          <w:color w:val="auto"/>
          <w:lang w:val="en-US" w:eastAsia="zh-CN"/>
        </w:rPr>
      </w:pPr>
      <w:r>
        <w:rPr>
          <w:rFonts w:hint="eastAsia"/>
          <w:color w:val="auto"/>
          <w:lang w:val="en-US" w:eastAsia="zh-CN"/>
        </w:rPr>
        <w:t>若依据2006年饮用水砷含量标准，在2,512个饮水型砷中毒病区（高砷）村中</w:t>
      </w:r>
      <w:r>
        <w:rPr>
          <w:rFonts w:hint="eastAsia"/>
          <w:color w:val="auto"/>
        </w:rPr>
        <w:t>，</w:t>
      </w:r>
      <w:r>
        <w:rPr>
          <w:rFonts w:hint="eastAsia"/>
          <w:color w:val="auto"/>
          <w:lang w:val="en-US" w:eastAsia="zh-CN"/>
        </w:rPr>
        <w:t>达到消除标准的村为2,469个（2,460个为改水村，9个为未改水村），消除率为98.29%。全国120个</w:t>
      </w:r>
      <w:r>
        <w:rPr>
          <w:rFonts w:hint="eastAsia"/>
          <w:color w:val="auto"/>
        </w:rPr>
        <w:t>病区县</w:t>
      </w:r>
      <w:r>
        <w:rPr>
          <w:rFonts w:hint="eastAsia"/>
          <w:color w:val="auto"/>
          <w:lang w:eastAsia="zh-CN"/>
        </w:rPr>
        <w:t>（</w:t>
      </w:r>
      <w:r>
        <w:rPr>
          <w:rFonts w:hint="eastAsia"/>
          <w:color w:val="auto"/>
          <w:lang w:val="en-US" w:eastAsia="zh-CN"/>
        </w:rPr>
        <w:t>高砷县</w:t>
      </w:r>
      <w:r>
        <w:rPr>
          <w:rFonts w:hint="eastAsia"/>
          <w:color w:val="auto"/>
          <w:lang w:eastAsia="zh-CN"/>
        </w:rPr>
        <w:t>）</w:t>
      </w:r>
      <w:r>
        <w:rPr>
          <w:rFonts w:hint="eastAsia"/>
          <w:color w:val="auto"/>
          <w:lang w:val="en-US" w:eastAsia="zh-CN"/>
        </w:rPr>
        <w:t>中，有116个县达到消除标准，消除率为96.67%；</w:t>
      </w:r>
      <w:r>
        <w:rPr>
          <w:rFonts w:hint="eastAsia"/>
          <w:color w:val="auto"/>
        </w:rPr>
        <w:t>未达到消除标准</w:t>
      </w:r>
      <w:r>
        <w:rPr>
          <w:rFonts w:hint="eastAsia"/>
          <w:color w:val="auto"/>
          <w:lang w:val="en-US" w:eastAsia="zh-CN"/>
        </w:rPr>
        <w:t>的县有4个，分布于山西（2个）和内蒙古（2个）。</w:t>
      </w:r>
      <w:r>
        <w:rPr>
          <w:color w:val="auto"/>
        </w:rPr>
        <w:t>结果见表</w:t>
      </w:r>
      <w:r>
        <w:rPr>
          <w:rFonts w:hint="eastAsia"/>
          <w:color w:val="auto"/>
        </w:rPr>
        <w:t>3</w:t>
      </w:r>
      <w:r>
        <w:rPr>
          <w:color w:val="auto"/>
        </w:rPr>
        <w:t>。</w:t>
      </w:r>
    </w:p>
    <w:p>
      <w:pPr>
        <w:keepNext w:val="0"/>
        <w:keepLines w:val="0"/>
        <w:pageBreakBefore w:val="0"/>
        <w:numPr>
          <w:ilvl w:val="-1"/>
          <w:numId w:val="0"/>
        </w:numPr>
        <w:kinsoku/>
        <w:wordWrap/>
        <w:overflowPunct/>
        <w:topLinePunct w:val="0"/>
        <w:autoSpaceDE/>
        <w:autoSpaceDN/>
        <w:bidi w:val="0"/>
        <w:spacing w:line="360" w:lineRule="auto"/>
        <w:ind w:left="480" w:firstLine="0" w:firstLineChars="0"/>
        <w:textAlignment w:val="auto"/>
        <w:rPr>
          <w:b/>
          <w:bCs/>
        </w:rPr>
      </w:pPr>
      <w:r>
        <w:rPr>
          <w:rFonts w:hint="eastAsia"/>
          <w:b/>
          <w:bCs/>
          <w:lang w:val="en-US" w:eastAsia="zh-CN"/>
        </w:rPr>
        <w:t>三、</w:t>
      </w:r>
      <w:r>
        <w:rPr>
          <w:rFonts w:hint="eastAsia"/>
          <w:b/>
          <w:bCs/>
        </w:rPr>
        <w:t>主要结论</w:t>
      </w:r>
    </w:p>
    <w:p>
      <w:pPr>
        <w:pStyle w:val="10"/>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textAlignment w:val="auto"/>
        <w:rPr>
          <w:color w:val="auto"/>
          <w:sz w:val="24"/>
        </w:rPr>
      </w:pPr>
      <w:r>
        <w:rPr>
          <w:rFonts w:hint="eastAsia"/>
          <w:color w:val="auto"/>
          <w:sz w:val="24"/>
        </w:rPr>
        <w:t>本年度在14个省（自治区）共监测120个饮水型地方性砷中毒</w:t>
      </w:r>
      <w:r>
        <w:rPr>
          <w:rFonts w:hint="eastAsia"/>
          <w:color w:val="auto"/>
          <w:sz w:val="24"/>
          <w:lang w:val="en-US" w:eastAsia="zh-CN"/>
        </w:rPr>
        <w:t>病区（高砷）</w:t>
      </w:r>
      <w:r>
        <w:rPr>
          <w:rFonts w:hint="eastAsia"/>
          <w:color w:val="auto"/>
          <w:sz w:val="24"/>
        </w:rPr>
        <w:t>县，覆盖</w:t>
      </w:r>
      <w:r>
        <w:rPr>
          <w:rFonts w:hint="eastAsia" w:hAnsi="宋体"/>
          <w:bCs/>
          <w:color w:val="auto"/>
          <w:sz w:val="24"/>
        </w:rPr>
        <w:t>2</w:t>
      </w:r>
      <w:r>
        <w:rPr>
          <w:rFonts w:hint="eastAsia" w:hAnsi="宋体"/>
          <w:bCs/>
          <w:color w:val="auto"/>
          <w:sz w:val="24"/>
          <w:lang w:val="en-US" w:eastAsia="zh-CN"/>
        </w:rPr>
        <w:t>,</w:t>
      </w:r>
      <w:r>
        <w:rPr>
          <w:rFonts w:hint="eastAsia" w:hAnsi="宋体"/>
          <w:bCs/>
          <w:color w:val="auto"/>
          <w:sz w:val="24"/>
        </w:rPr>
        <w:t>5</w:t>
      </w:r>
      <w:r>
        <w:rPr>
          <w:rFonts w:hint="eastAsia" w:hAnsi="宋体"/>
          <w:bCs/>
          <w:color w:val="auto"/>
          <w:sz w:val="24"/>
          <w:lang w:val="en-US" w:eastAsia="zh-CN"/>
        </w:rPr>
        <w:t>12</w:t>
      </w:r>
      <w:r>
        <w:rPr>
          <w:rFonts w:hint="eastAsia"/>
          <w:color w:val="auto"/>
          <w:sz w:val="24"/>
        </w:rPr>
        <w:t>个自然村，改水率为</w:t>
      </w:r>
      <w:r>
        <w:rPr>
          <w:rFonts w:hint="eastAsia" w:hAnsi="宋体"/>
          <w:bCs/>
          <w:color w:val="auto"/>
          <w:sz w:val="24"/>
        </w:rPr>
        <w:t>99.</w:t>
      </w:r>
      <w:r>
        <w:rPr>
          <w:rFonts w:hint="eastAsia" w:hAnsi="宋体"/>
          <w:bCs/>
          <w:color w:val="auto"/>
          <w:sz w:val="24"/>
          <w:lang w:val="en-US" w:eastAsia="zh-CN"/>
        </w:rPr>
        <w:t>64</w:t>
      </w:r>
      <w:r>
        <w:rPr>
          <w:rFonts w:hint="eastAsia"/>
          <w:color w:val="auto"/>
          <w:sz w:val="24"/>
        </w:rPr>
        <w:t>%（</w:t>
      </w:r>
      <w:r>
        <w:rPr>
          <w:rFonts w:hint="eastAsia" w:hAnsi="宋体"/>
          <w:bCs/>
          <w:color w:val="auto"/>
          <w:sz w:val="24"/>
        </w:rPr>
        <w:t>2</w:t>
      </w:r>
      <w:r>
        <w:rPr>
          <w:rFonts w:hint="eastAsia" w:hAnsi="宋体"/>
          <w:bCs/>
          <w:color w:val="auto"/>
          <w:sz w:val="24"/>
          <w:lang w:val="en-US" w:eastAsia="zh-CN"/>
        </w:rPr>
        <w:t>,</w:t>
      </w:r>
      <w:r>
        <w:rPr>
          <w:rFonts w:hint="eastAsia" w:hAnsi="宋体"/>
          <w:bCs/>
          <w:color w:val="auto"/>
          <w:sz w:val="24"/>
        </w:rPr>
        <w:t>5</w:t>
      </w:r>
      <w:r>
        <w:rPr>
          <w:rFonts w:hint="eastAsia" w:hAnsi="宋体"/>
          <w:bCs/>
          <w:color w:val="auto"/>
          <w:sz w:val="24"/>
          <w:lang w:val="en-US" w:eastAsia="zh-CN"/>
        </w:rPr>
        <w:t>03</w:t>
      </w:r>
      <w:r>
        <w:rPr>
          <w:rFonts w:hint="eastAsia"/>
          <w:color w:val="auto"/>
          <w:sz w:val="24"/>
        </w:rPr>
        <w:t>/</w:t>
      </w:r>
      <w:r>
        <w:rPr>
          <w:rFonts w:hint="eastAsia" w:hAnsi="宋体"/>
          <w:bCs/>
          <w:color w:val="auto"/>
          <w:sz w:val="24"/>
        </w:rPr>
        <w:t>2</w:t>
      </w:r>
      <w:r>
        <w:rPr>
          <w:rFonts w:hint="eastAsia" w:hAnsi="宋体"/>
          <w:bCs/>
          <w:color w:val="auto"/>
          <w:sz w:val="24"/>
          <w:lang w:val="en-US" w:eastAsia="zh-CN"/>
        </w:rPr>
        <w:t>,</w:t>
      </w:r>
      <w:r>
        <w:rPr>
          <w:rFonts w:hint="eastAsia" w:hAnsi="宋体"/>
          <w:bCs/>
          <w:color w:val="auto"/>
          <w:sz w:val="24"/>
        </w:rPr>
        <w:t>5</w:t>
      </w:r>
      <w:r>
        <w:rPr>
          <w:rFonts w:hint="eastAsia" w:hAnsi="宋体"/>
          <w:bCs/>
          <w:color w:val="auto"/>
          <w:sz w:val="24"/>
          <w:lang w:val="en-US" w:eastAsia="zh-CN"/>
        </w:rPr>
        <w:t>12</w:t>
      </w:r>
      <w:r>
        <w:rPr>
          <w:rFonts w:hint="eastAsia"/>
          <w:color w:val="auto"/>
          <w:sz w:val="24"/>
        </w:rPr>
        <w:t>），改水工程正常运转率</w:t>
      </w:r>
      <w:r>
        <w:rPr>
          <w:rFonts w:hint="eastAsia"/>
          <w:color w:val="auto"/>
          <w:sz w:val="24"/>
          <w:lang w:val="en-US" w:eastAsia="zh-CN"/>
        </w:rPr>
        <w:t>亦</w:t>
      </w:r>
      <w:r>
        <w:rPr>
          <w:rFonts w:hint="eastAsia"/>
          <w:color w:val="auto"/>
          <w:sz w:val="24"/>
        </w:rPr>
        <w:t>为</w:t>
      </w:r>
      <w:r>
        <w:rPr>
          <w:rFonts w:hint="eastAsia" w:hAnsi="宋体"/>
          <w:bCs/>
          <w:color w:val="auto"/>
          <w:sz w:val="24"/>
        </w:rPr>
        <w:t>99.</w:t>
      </w:r>
      <w:r>
        <w:rPr>
          <w:rFonts w:hint="eastAsia" w:hAnsi="宋体"/>
          <w:bCs/>
          <w:color w:val="auto"/>
          <w:sz w:val="24"/>
          <w:lang w:val="en-US" w:eastAsia="zh-CN"/>
        </w:rPr>
        <w:t>64</w:t>
      </w:r>
      <w:r>
        <w:rPr>
          <w:rFonts w:hint="eastAsia"/>
          <w:color w:val="auto"/>
          <w:sz w:val="24"/>
        </w:rPr>
        <w:t>％（</w:t>
      </w:r>
      <w:r>
        <w:rPr>
          <w:rFonts w:hint="eastAsia" w:hAnsi="宋体"/>
          <w:bCs/>
          <w:color w:val="auto"/>
          <w:sz w:val="24"/>
        </w:rPr>
        <w:t>2</w:t>
      </w:r>
      <w:r>
        <w:rPr>
          <w:rFonts w:hint="eastAsia" w:hAnsi="宋体"/>
          <w:bCs/>
          <w:color w:val="auto"/>
          <w:sz w:val="24"/>
          <w:lang w:val="en-US" w:eastAsia="zh-CN"/>
        </w:rPr>
        <w:t>,494</w:t>
      </w:r>
      <w:r>
        <w:rPr>
          <w:rFonts w:hint="eastAsia"/>
          <w:color w:val="auto"/>
          <w:sz w:val="24"/>
        </w:rPr>
        <w:t>/</w:t>
      </w:r>
      <w:r>
        <w:rPr>
          <w:rFonts w:hint="eastAsia" w:hAnsi="宋体"/>
          <w:bCs/>
          <w:color w:val="auto"/>
          <w:sz w:val="24"/>
        </w:rPr>
        <w:t>2</w:t>
      </w:r>
      <w:r>
        <w:rPr>
          <w:rFonts w:hint="eastAsia" w:hAnsi="宋体"/>
          <w:bCs/>
          <w:color w:val="auto"/>
          <w:sz w:val="24"/>
          <w:lang w:val="en-US" w:eastAsia="zh-CN"/>
        </w:rPr>
        <w:t>,</w:t>
      </w:r>
      <w:r>
        <w:rPr>
          <w:rFonts w:hint="eastAsia" w:hAnsi="宋体"/>
          <w:bCs/>
          <w:color w:val="auto"/>
          <w:sz w:val="24"/>
        </w:rPr>
        <w:t>503</w:t>
      </w:r>
      <w:r>
        <w:rPr>
          <w:rFonts w:hint="eastAsia"/>
          <w:color w:val="auto"/>
          <w:sz w:val="24"/>
        </w:rPr>
        <w:t>）</w:t>
      </w:r>
      <w:r>
        <w:rPr>
          <w:rFonts w:hint="eastAsia"/>
          <w:color w:val="auto"/>
          <w:sz w:val="24"/>
          <w:lang w:eastAsia="zh-CN"/>
        </w:rPr>
        <w:t>。</w:t>
      </w:r>
      <w:r>
        <w:rPr>
          <w:rFonts w:hint="eastAsia"/>
          <w:color w:val="auto"/>
          <w:sz w:val="24"/>
        </w:rPr>
        <w:t>依据20</w:t>
      </w:r>
      <w:r>
        <w:rPr>
          <w:rFonts w:hint="eastAsia"/>
          <w:color w:val="auto"/>
          <w:sz w:val="24"/>
          <w:lang w:val="en-US" w:eastAsia="zh-CN"/>
        </w:rPr>
        <w:t>22</w:t>
      </w:r>
      <w:r>
        <w:rPr>
          <w:rFonts w:hint="eastAsia"/>
          <w:color w:val="auto"/>
          <w:sz w:val="24"/>
        </w:rPr>
        <w:t>年饮用水砷含量标准，水砷合格率</w:t>
      </w:r>
      <w:r>
        <w:rPr>
          <w:rFonts w:hint="eastAsia"/>
          <w:color w:val="auto"/>
          <w:sz w:val="24"/>
          <w:lang w:val="en-US" w:eastAsia="zh-CN"/>
        </w:rPr>
        <w:t>为96.96</w:t>
      </w:r>
      <w:r>
        <w:rPr>
          <w:rFonts w:hint="eastAsia"/>
          <w:color w:val="auto"/>
          <w:sz w:val="24"/>
        </w:rPr>
        <w:t>%（</w:t>
      </w:r>
      <w:r>
        <w:rPr>
          <w:rFonts w:hint="eastAsia"/>
          <w:color w:val="auto"/>
          <w:sz w:val="24"/>
          <w:lang w:val="en-US" w:eastAsia="zh-CN"/>
        </w:rPr>
        <w:t>2</w:t>
      </w:r>
      <w:r>
        <w:rPr>
          <w:rFonts w:hint="eastAsia"/>
          <w:color w:val="auto"/>
          <w:lang w:val="en-US" w:eastAsia="zh-CN"/>
        </w:rPr>
        <w:t>,</w:t>
      </w:r>
      <w:r>
        <w:rPr>
          <w:rFonts w:hint="eastAsia"/>
          <w:color w:val="auto"/>
          <w:sz w:val="24"/>
          <w:lang w:val="en-US" w:eastAsia="zh-CN"/>
        </w:rPr>
        <w:t>427</w:t>
      </w:r>
      <w:r>
        <w:rPr>
          <w:rFonts w:hint="eastAsia"/>
          <w:color w:val="auto"/>
          <w:sz w:val="24"/>
        </w:rPr>
        <w:t>/</w:t>
      </w:r>
      <w:r>
        <w:rPr>
          <w:rFonts w:hint="eastAsia" w:hAnsi="宋体"/>
          <w:bCs/>
          <w:color w:val="auto"/>
          <w:sz w:val="24"/>
        </w:rPr>
        <w:t>2</w:t>
      </w:r>
      <w:r>
        <w:rPr>
          <w:rFonts w:hint="eastAsia" w:hAnsi="宋体"/>
          <w:bCs/>
          <w:color w:val="auto"/>
          <w:sz w:val="24"/>
          <w:lang w:val="en-US" w:eastAsia="zh-CN"/>
        </w:rPr>
        <w:t>,</w:t>
      </w:r>
      <w:r>
        <w:rPr>
          <w:rFonts w:hint="eastAsia" w:hAnsi="宋体"/>
          <w:bCs/>
          <w:color w:val="auto"/>
          <w:sz w:val="24"/>
        </w:rPr>
        <w:t>503</w:t>
      </w:r>
      <w:r>
        <w:rPr>
          <w:rFonts w:hint="eastAsia"/>
          <w:color w:val="auto"/>
          <w:sz w:val="24"/>
        </w:rPr>
        <w:t>）。</w:t>
      </w:r>
      <w:r>
        <w:rPr>
          <w:rFonts w:hint="eastAsia"/>
          <w:color w:val="auto"/>
          <w:sz w:val="24"/>
          <w:lang w:val="en-US" w:eastAsia="zh-CN"/>
        </w:rPr>
        <w:t>若</w:t>
      </w:r>
      <w:r>
        <w:rPr>
          <w:rFonts w:hint="eastAsia"/>
          <w:color w:val="auto"/>
          <w:sz w:val="24"/>
        </w:rPr>
        <w:t>依据2006年饮用水砷含量标准，水砷合格率</w:t>
      </w:r>
      <w:r>
        <w:rPr>
          <w:rFonts w:hint="eastAsia"/>
          <w:color w:val="auto"/>
          <w:sz w:val="24"/>
          <w:lang w:val="en-US" w:eastAsia="zh-CN"/>
        </w:rPr>
        <w:t>为</w:t>
      </w:r>
      <w:r>
        <w:rPr>
          <w:rFonts w:hint="eastAsia" w:hAnsi="宋体"/>
          <w:bCs/>
          <w:color w:val="auto"/>
          <w:sz w:val="24"/>
          <w:lang w:val="en-US" w:eastAsia="zh-CN"/>
        </w:rPr>
        <w:t>98.28</w:t>
      </w:r>
      <w:r>
        <w:rPr>
          <w:rFonts w:hint="eastAsia"/>
          <w:color w:val="auto"/>
          <w:sz w:val="24"/>
        </w:rPr>
        <w:t>%（</w:t>
      </w:r>
      <w:r>
        <w:rPr>
          <w:rFonts w:hint="eastAsia" w:hAnsi="宋体"/>
          <w:bCs/>
          <w:color w:val="auto"/>
          <w:sz w:val="24"/>
          <w:lang w:val="en-US" w:eastAsia="zh-CN"/>
        </w:rPr>
        <w:t>2</w:t>
      </w:r>
      <w:r>
        <w:rPr>
          <w:rFonts w:hint="eastAsia"/>
          <w:color w:val="auto"/>
          <w:lang w:val="en-US" w:eastAsia="zh-CN"/>
        </w:rPr>
        <w:t>,</w:t>
      </w:r>
      <w:r>
        <w:rPr>
          <w:rFonts w:hint="eastAsia" w:hAnsi="宋体"/>
          <w:bCs/>
          <w:color w:val="auto"/>
          <w:sz w:val="24"/>
          <w:lang w:val="en-US" w:eastAsia="zh-CN"/>
        </w:rPr>
        <w:t>460</w:t>
      </w:r>
      <w:r>
        <w:rPr>
          <w:rFonts w:hint="eastAsia"/>
          <w:color w:val="auto"/>
          <w:sz w:val="24"/>
        </w:rPr>
        <w:t>/</w:t>
      </w:r>
      <w:r>
        <w:rPr>
          <w:rFonts w:hint="eastAsia" w:hAnsi="宋体"/>
          <w:bCs/>
          <w:color w:val="auto"/>
          <w:sz w:val="24"/>
        </w:rPr>
        <w:t>2</w:t>
      </w:r>
      <w:r>
        <w:rPr>
          <w:rFonts w:hint="eastAsia" w:hAnsi="宋体"/>
          <w:bCs/>
          <w:color w:val="auto"/>
          <w:sz w:val="24"/>
          <w:lang w:val="en-US" w:eastAsia="zh-CN"/>
        </w:rPr>
        <w:t>,</w:t>
      </w:r>
      <w:r>
        <w:rPr>
          <w:rFonts w:hint="eastAsia" w:hAnsi="宋体"/>
          <w:bCs/>
          <w:color w:val="auto"/>
          <w:sz w:val="24"/>
        </w:rPr>
        <w:t>503</w:t>
      </w:r>
      <w:r>
        <w:rPr>
          <w:rFonts w:hint="eastAsia"/>
          <w:color w:val="auto"/>
          <w:sz w:val="24"/>
        </w:rPr>
        <w:t>）</w:t>
      </w:r>
      <w:r>
        <w:rPr>
          <w:rFonts w:hint="eastAsia"/>
          <w:color w:val="auto"/>
          <w:sz w:val="24"/>
          <w:lang w:eastAsia="zh-CN"/>
        </w:rPr>
        <w:t>。</w:t>
      </w:r>
    </w:p>
    <w:p>
      <w:pPr>
        <w:pStyle w:val="10"/>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textAlignment w:val="auto"/>
        <w:rPr>
          <w:color w:val="auto"/>
          <w:sz w:val="24"/>
        </w:rPr>
      </w:pPr>
      <w:r>
        <w:rPr>
          <w:rFonts w:hint="eastAsia"/>
          <w:color w:val="auto"/>
          <w:sz w:val="24"/>
          <w:lang w:eastAsia="zh-CN"/>
        </w:rPr>
        <w:t>共监测</w:t>
      </w:r>
      <w:r>
        <w:rPr>
          <w:rFonts w:hint="eastAsia"/>
          <w:color w:val="auto"/>
          <w:sz w:val="24"/>
        </w:rPr>
        <w:t>未改水</w:t>
      </w:r>
      <w:r>
        <w:rPr>
          <w:rFonts w:hint="eastAsia"/>
          <w:color w:val="auto"/>
          <w:sz w:val="24"/>
          <w:lang w:val="en-US" w:eastAsia="zh-CN"/>
        </w:rPr>
        <w:t>的历史病区</w:t>
      </w:r>
      <w:r>
        <w:rPr>
          <w:rFonts w:hint="eastAsia"/>
          <w:color w:val="auto"/>
          <w:sz w:val="24"/>
        </w:rPr>
        <w:t>村</w:t>
      </w:r>
      <w:r>
        <w:rPr>
          <w:rFonts w:hint="eastAsia"/>
          <w:color w:val="auto"/>
          <w:sz w:val="24"/>
          <w:lang w:val="en-US" w:eastAsia="zh-CN"/>
        </w:rPr>
        <w:t>9</w:t>
      </w:r>
      <w:r>
        <w:rPr>
          <w:rFonts w:hint="eastAsia"/>
          <w:color w:val="auto"/>
          <w:sz w:val="24"/>
        </w:rPr>
        <w:t>个，</w:t>
      </w:r>
      <w:r>
        <w:rPr>
          <w:rFonts w:hint="eastAsia"/>
          <w:color w:val="auto"/>
          <w:sz w:val="24"/>
          <w:lang w:val="en-US" w:eastAsia="zh-CN"/>
        </w:rPr>
        <w:t>调查59</w:t>
      </w:r>
      <w:r>
        <w:rPr>
          <w:rFonts w:hint="eastAsia"/>
          <w:color w:val="auto"/>
          <w:sz w:val="24"/>
        </w:rPr>
        <w:t>户，</w:t>
      </w:r>
      <w:r>
        <w:rPr>
          <w:rFonts w:hint="eastAsia"/>
          <w:color w:val="auto"/>
          <w:sz w:val="24"/>
          <w:lang w:val="en-US" w:eastAsia="zh-CN"/>
        </w:rPr>
        <w:t>按照限值0.01mg/L统计，水砷合格率为93.22%</w:t>
      </w:r>
      <w:r>
        <w:rPr>
          <w:rFonts w:hint="eastAsia"/>
          <w:color w:val="auto"/>
          <w:sz w:val="24"/>
          <w:lang w:eastAsia="zh-CN"/>
        </w:rPr>
        <w:t>，</w:t>
      </w:r>
      <w:r>
        <w:rPr>
          <w:rFonts w:hint="eastAsia"/>
          <w:color w:val="auto"/>
          <w:sz w:val="24"/>
        </w:rPr>
        <w:t>按照限值0.05mg/L统计，水砷合格率为100%。</w:t>
      </w:r>
    </w:p>
    <w:p>
      <w:pPr>
        <w:pStyle w:val="10"/>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textAlignment w:val="auto"/>
        <w:rPr>
          <w:rFonts w:hint="eastAsia"/>
          <w:color w:val="auto"/>
          <w:sz w:val="24"/>
          <w:lang w:val="en-US" w:eastAsia="zh-CN"/>
        </w:rPr>
      </w:pPr>
      <w:r>
        <w:rPr>
          <w:rFonts w:hint="eastAsia"/>
          <w:color w:val="auto"/>
          <w:sz w:val="24"/>
          <w:lang w:val="en-US" w:eastAsia="zh-CN"/>
        </w:rPr>
        <w:t>全国饮水型砷中毒病区砷中毒患者数为3,85</w:t>
      </w:r>
      <w:r>
        <w:rPr>
          <w:rFonts w:hint="default"/>
          <w:color w:val="auto"/>
          <w:sz w:val="24"/>
          <w:lang w:eastAsia="zh-CN"/>
        </w:rPr>
        <w:t>5</w:t>
      </w:r>
      <w:r>
        <w:rPr>
          <w:rFonts w:hint="eastAsia"/>
          <w:color w:val="auto"/>
          <w:sz w:val="24"/>
          <w:lang w:val="en-US" w:eastAsia="zh-CN"/>
        </w:rPr>
        <w:t>人，检出率为0.42%，</w:t>
      </w:r>
      <w:r>
        <w:rPr>
          <w:rFonts w:hint="eastAsia"/>
          <w:color w:val="auto"/>
          <w:sz w:val="24"/>
        </w:rPr>
        <w:t>未发现</w:t>
      </w:r>
      <w:r>
        <w:rPr>
          <w:rFonts w:hint="eastAsia"/>
          <w:color w:val="auto"/>
          <w:sz w:val="24"/>
          <w:lang w:val="en-US" w:eastAsia="zh-CN"/>
        </w:rPr>
        <w:t>确诊的</w:t>
      </w:r>
      <w:r>
        <w:rPr>
          <w:rFonts w:hint="eastAsia"/>
          <w:color w:val="auto"/>
          <w:sz w:val="24"/>
        </w:rPr>
        <w:t>砷中</w:t>
      </w:r>
      <w:r>
        <w:rPr>
          <w:rFonts w:hint="eastAsia"/>
          <w:color w:val="auto"/>
          <w:sz w:val="24"/>
          <w:lang w:val="en-US" w:eastAsia="zh-CN"/>
        </w:rPr>
        <w:t>毒新发病例。</w:t>
      </w:r>
    </w:p>
    <w:p>
      <w:pPr>
        <w:pStyle w:val="10"/>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textAlignment w:val="auto"/>
        <w:rPr>
          <w:rFonts w:hint="eastAsia"/>
          <w:color w:val="auto"/>
          <w:sz w:val="24"/>
          <w:lang w:val="en-US" w:eastAsia="zh-CN"/>
        </w:rPr>
      </w:pPr>
      <w:r>
        <w:rPr>
          <w:rFonts w:hint="eastAsia"/>
          <w:color w:val="auto"/>
          <w:sz w:val="24"/>
          <w:lang w:val="en-US" w:eastAsia="zh-CN"/>
        </w:rPr>
        <w:t>依据2022年饮用水砷含量标准，120个饮水型砷中毒病区（高砷）县的消除率为88.33%（106/120），若依据2006年饮用水砷含量标准，饮水型砷中毒病区（高砷）县的消除率为96.67%（116/120）。</w:t>
      </w:r>
    </w:p>
    <w:p>
      <w:pPr>
        <w:pStyle w:val="32"/>
        <w:keepNext w:val="0"/>
        <w:keepLines w:val="0"/>
        <w:pageBreakBefore w:val="0"/>
        <w:kinsoku/>
        <w:wordWrap/>
        <w:overflowPunct/>
        <w:topLinePunct w:val="0"/>
        <w:autoSpaceDE/>
        <w:autoSpaceDN/>
        <w:bidi w:val="0"/>
        <w:spacing w:line="360" w:lineRule="auto"/>
        <w:ind w:firstLine="482"/>
        <w:textAlignment w:val="auto"/>
        <w:rPr>
          <w:rFonts w:hint="default" w:hAnsi="宋体" w:eastAsia="宋体" w:cs="Times New Roman"/>
          <w:b/>
          <w:sz w:val="24"/>
          <w:szCs w:val="24"/>
          <w:lang w:val="en-US" w:eastAsia="zh-CN"/>
        </w:rPr>
      </w:pPr>
      <w:r>
        <w:rPr>
          <w:rFonts w:hint="eastAsia" w:hAnsi="宋体" w:eastAsia="宋体" w:cs="Times New Roman"/>
          <w:b/>
          <w:sz w:val="24"/>
          <w:szCs w:val="24"/>
          <w:lang w:val="en-US" w:eastAsia="zh-CN"/>
        </w:rPr>
        <w:t>四</w:t>
      </w:r>
      <w:r>
        <w:rPr>
          <w:rFonts w:hAnsi="宋体" w:eastAsia="宋体" w:cs="Times New Roman"/>
          <w:b/>
          <w:sz w:val="24"/>
          <w:szCs w:val="24"/>
        </w:rPr>
        <w:t>、</w:t>
      </w:r>
      <w:r>
        <w:rPr>
          <w:rFonts w:hint="eastAsia" w:hAnsi="宋体" w:eastAsia="宋体" w:cs="Times New Roman"/>
          <w:b/>
          <w:sz w:val="24"/>
          <w:szCs w:val="24"/>
          <w:lang w:val="en-US" w:eastAsia="zh-CN"/>
        </w:rPr>
        <w:t>存在的问题和下一步工作建议</w:t>
      </w:r>
    </w:p>
    <w:p>
      <w:pPr>
        <w:pStyle w:val="32"/>
        <w:keepNext w:val="0"/>
        <w:keepLines w:val="0"/>
        <w:pageBreakBefore w:val="0"/>
        <w:kinsoku/>
        <w:wordWrap/>
        <w:overflowPunct/>
        <w:topLinePunct w:val="0"/>
        <w:autoSpaceDE/>
        <w:autoSpaceDN/>
        <w:bidi w:val="0"/>
        <w:spacing w:line="360" w:lineRule="auto"/>
        <w:ind w:firstLine="482"/>
        <w:textAlignment w:val="auto"/>
        <w:rPr>
          <w:rFonts w:hint="default" w:hAnsi="宋体" w:eastAsia="宋体" w:cs="Times New Roman"/>
          <w:b/>
          <w:sz w:val="24"/>
          <w:szCs w:val="24"/>
          <w:lang w:val="en-US" w:eastAsia="zh-CN"/>
        </w:rPr>
      </w:pPr>
      <w:bookmarkStart w:id="10" w:name="OLE_LINK15"/>
      <w:bookmarkStart w:id="11" w:name="OLE_LINK14"/>
      <w:r>
        <w:rPr>
          <w:rFonts w:hint="eastAsia" w:hAnsi="宋体" w:eastAsia="宋体" w:cs="Times New Roman"/>
          <w:b/>
          <w:sz w:val="24"/>
          <w:szCs w:val="24"/>
          <w:lang w:val="en-US" w:eastAsia="zh-CN"/>
        </w:rPr>
        <w:t>（一）</w:t>
      </w:r>
      <w:bookmarkEnd w:id="10"/>
      <w:r>
        <w:rPr>
          <w:rFonts w:hint="eastAsia" w:hAnsi="宋体" w:eastAsia="宋体" w:cs="Times New Roman"/>
          <w:b/>
          <w:sz w:val="24"/>
          <w:szCs w:val="24"/>
          <w:lang w:val="en-US" w:eastAsia="zh-CN"/>
        </w:rPr>
        <w:t>改水工程的监管和维护需持续加强</w:t>
      </w:r>
    </w:p>
    <w:bookmarkEnd w:id="11"/>
    <w:p>
      <w:pPr>
        <w:pStyle w:val="32"/>
        <w:keepNext w:val="0"/>
        <w:keepLines w:val="0"/>
        <w:pageBreakBefore w:val="0"/>
        <w:kinsoku/>
        <w:wordWrap/>
        <w:overflowPunct/>
        <w:topLinePunct w:val="0"/>
        <w:autoSpaceDE/>
        <w:autoSpaceDN/>
        <w:bidi w:val="0"/>
        <w:spacing w:line="360" w:lineRule="auto"/>
        <w:ind w:firstLine="482"/>
        <w:textAlignment w:val="auto"/>
        <w:rPr>
          <w:rFonts w:hint="eastAsia" w:hAnsi="宋体" w:eastAsia="宋体" w:cs="Times New Roman"/>
          <w:b w:val="0"/>
          <w:bCs/>
          <w:sz w:val="24"/>
          <w:szCs w:val="24"/>
          <w:lang w:val="en-US" w:eastAsia="zh-CN"/>
        </w:rPr>
      </w:pPr>
      <w:r>
        <w:rPr>
          <w:rFonts w:hint="eastAsia" w:hAnsi="宋体" w:eastAsia="宋体" w:cs="Times New Roman"/>
          <w:b w:val="0"/>
          <w:bCs/>
          <w:sz w:val="24"/>
          <w:szCs w:val="24"/>
          <w:lang w:val="en-US" w:eastAsia="zh-CN"/>
        </w:rPr>
        <w:t>本年度，饮水型砷中毒病区村改水率为99.64%，相较于2022年的99.73%略有降低。目前，仅剩内蒙古存在未改水村，且未改水村数由上一年的7个增加至9个，主要是因为内蒙古锡林郭勒盟巴彦锡力新大队部和乌兰山都两个村的净水系统不再使用，因此按照未改水村进行上报。本年度饮水型砷中毒病区村改水工程的正常运转率为99.64%，相较于2022年的99.84%也略有下降。除了内蒙古和新疆仍存在原始遗留的间歇供水问题未解决外，内蒙古和云南还新增了6个工程报废的村。</w:t>
      </w:r>
    </w:p>
    <w:p>
      <w:pPr>
        <w:pStyle w:val="32"/>
        <w:keepNext w:val="0"/>
        <w:keepLines w:val="0"/>
        <w:pageBreakBefore w:val="0"/>
        <w:kinsoku/>
        <w:wordWrap/>
        <w:overflowPunct/>
        <w:topLinePunct w:val="0"/>
        <w:autoSpaceDE/>
        <w:autoSpaceDN/>
        <w:bidi w:val="0"/>
        <w:spacing w:line="360" w:lineRule="auto"/>
        <w:ind w:firstLine="482"/>
        <w:textAlignment w:val="auto"/>
        <w:rPr>
          <w:rFonts w:hint="eastAsia" w:hAnsi="宋体" w:eastAsia="宋体" w:cs="Times New Roman"/>
          <w:b w:val="0"/>
          <w:bCs/>
          <w:sz w:val="24"/>
          <w:szCs w:val="24"/>
          <w:highlight w:val="none"/>
          <w:lang w:val="en-US" w:eastAsia="zh-CN"/>
        </w:rPr>
      </w:pPr>
      <w:r>
        <w:rPr>
          <w:rFonts w:hint="eastAsia" w:hAnsi="宋体" w:eastAsia="宋体" w:cs="Times New Roman"/>
          <w:b w:val="0"/>
          <w:bCs/>
          <w:sz w:val="24"/>
          <w:szCs w:val="24"/>
          <w:highlight w:val="none"/>
          <w:lang w:val="en-US" w:eastAsia="zh-CN"/>
        </w:rPr>
        <w:t>出现上述问题的主要原因是改水工程的管理和维护不到位。</w:t>
      </w:r>
      <w:r>
        <w:rPr>
          <w:rFonts w:hint="eastAsia" w:hAnsi="宋体" w:eastAsia="宋体" w:cs="Times New Roman"/>
          <w:b w:val="0"/>
          <w:bCs/>
          <w:sz w:val="24"/>
          <w:szCs w:val="24"/>
          <w:lang w:val="en-US" w:eastAsia="zh-CN"/>
        </w:rPr>
        <w:t>建议各级相关部门建立健全改水工程的管理机制和后期维护体系，明确责任分工，加强监管和督促，定期开展工程检查、维修保养和更换滤芯等工作。定期提供培训</w:t>
      </w:r>
      <w:r>
        <w:rPr>
          <w:rFonts w:hint="eastAsia" w:hAnsi="宋体" w:eastAsia="宋体" w:cs="Times New Roman"/>
          <w:b w:val="0"/>
          <w:bCs/>
          <w:sz w:val="24"/>
          <w:szCs w:val="24"/>
          <w:highlight w:val="none"/>
          <w:lang w:val="en-US" w:eastAsia="zh-CN"/>
        </w:rPr>
        <w:t>和技术支持，使病区村能够自主进行设备的日常维护，保证改水工程的正常运行和水质的持续净化。开展宣传教育活动，提高居民对饮水安全和水质改善的意识，建立居民反馈机制，及时了解和解决居民的相关问题和需求。</w:t>
      </w:r>
    </w:p>
    <w:p>
      <w:pPr>
        <w:pStyle w:val="32"/>
        <w:keepNext w:val="0"/>
        <w:keepLines w:val="0"/>
        <w:pageBreakBefore w:val="0"/>
        <w:kinsoku/>
        <w:wordWrap/>
        <w:overflowPunct/>
        <w:topLinePunct w:val="0"/>
        <w:autoSpaceDE/>
        <w:autoSpaceDN/>
        <w:bidi w:val="0"/>
        <w:spacing w:line="360" w:lineRule="auto"/>
        <w:ind w:firstLine="482"/>
        <w:textAlignment w:val="auto"/>
        <w:rPr>
          <w:rFonts w:hint="default" w:hAnsi="宋体" w:eastAsia="宋体" w:cs="Times New Roman"/>
          <w:b w:val="0"/>
          <w:bCs/>
          <w:sz w:val="24"/>
          <w:szCs w:val="24"/>
          <w:highlight w:val="yellow"/>
          <w:lang w:val="en-US" w:eastAsia="zh-CN"/>
        </w:rPr>
      </w:pPr>
      <w:r>
        <w:rPr>
          <w:rFonts w:hint="eastAsia" w:hAnsi="宋体" w:eastAsia="宋体" w:cs="Times New Roman"/>
          <w:b/>
          <w:sz w:val="24"/>
          <w:szCs w:val="24"/>
          <w:lang w:val="en-US" w:eastAsia="zh-CN"/>
        </w:rPr>
        <w:t>（二）部分工程水砷含量存在波动，应进一步规范监测过程中的质量控制</w:t>
      </w:r>
    </w:p>
    <w:p>
      <w:pPr>
        <w:pStyle w:val="32"/>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hAnsi="宋体" w:eastAsia="宋体" w:cs="Times New Roman"/>
          <w:b w:val="0"/>
          <w:bCs/>
          <w:sz w:val="24"/>
          <w:szCs w:val="24"/>
          <w:lang w:val="en-US" w:eastAsia="zh-CN"/>
        </w:rPr>
      </w:pPr>
      <w:r>
        <w:rPr>
          <w:rFonts w:hint="eastAsia" w:hAnsi="宋体" w:eastAsia="宋体" w:cs="Times New Roman"/>
          <w:b w:val="0"/>
          <w:bCs/>
          <w:sz w:val="24"/>
          <w:szCs w:val="24"/>
          <w:lang w:val="en-US" w:eastAsia="zh-CN"/>
        </w:rPr>
        <w:t>按照</w:t>
      </w:r>
      <w:r>
        <w:rPr>
          <w:rFonts w:hint="default" w:hAnsi="宋体" w:eastAsia="宋体" w:cs="Times New Roman"/>
          <w:b w:val="0"/>
          <w:bCs/>
          <w:sz w:val="24"/>
          <w:szCs w:val="24"/>
          <w:lang w:val="en-US" w:eastAsia="zh-CN"/>
        </w:rPr>
        <w:t>《生活饮用水卫生标准》（</w:t>
      </w:r>
      <w:bookmarkStart w:id="12" w:name="OLE_LINK22"/>
      <w:r>
        <w:rPr>
          <w:rFonts w:hint="default" w:hAnsi="宋体" w:eastAsia="宋体" w:cs="Times New Roman"/>
          <w:b w:val="0"/>
          <w:bCs/>
          <w:sz w:val="24"/>
          <w:szCs w:val="24"/>
          <w:lang w:val="en-US" w:eastAsia="zh-CN"/>
        </w:rPr>
        <w:t>GB 5749-2022</w:t>
      </w:r>
      <w:bookmarkEnd w:id="12"/>
      <w:r>
        <w:rPr>
          <w:rFonts w:hint="default" w:hAnsi="宋体" w:eastAsia="宋体" w:cs="Times New Roman"/>
          <w:b w:val="0"/>
          <w:bCs/>
          <w:sz w:val="24"/>
          <w:szCs w:val="24"/>
          <w:lang w:val="en-US" w:eastAsia="zh-CN"/>
        </w:rPr>
        <w:t>）</w:t>
      </w:r>
      <w:r>
        <w:rPr>
          <w:rFonts w:hint="eastAsia" w:hAnsi="宋体" w:eastAsia="宋体" w:cs="Times New Roman"/>
          <w:b w:val="0"/>
          <w:bCs/>
          <w:sz w:val="24"/>
          <w:szCs w:val="24"/>
          <w:lang w:val="en-US" w:eastAsia="zh-CN"/>
        </w:rPr>
        <w:t>，2023年度饮水型砷中毒病区村的水砷合格率为96.96%，相较于2022年度的91.54%，有了显著的提升。水砷合格率的提升可以归结为三个主要原因。首先，部分省份在新标准出台后采取了积极的举措以改善水质。例如，吉林省洮南市和通榆县的水利部门在116个病区村的改水工程中增添了除</w:t>
      </w:r>
      <w:r>
        <w:rPr>
          <w:rFonts w:hint="eastAsia" w:hAnsi="宋体" w:eastAsia="宋体" w:cs="Times New Roman"/>
          <w:b w:val="0"/>
          <w:bCs/>
          <w:color w:val="auto"/>
          <w:sz w:val="24"/>
          <w:szCs w:val="24"/>
          <w:lang w:val="en-US" w:eastAsia="zh-CN"/>
        </w:rPr>
        <w:t>氟降砷设备；宁夏平罗县前进农场新建管网联通工程，引入了合格水源，解决了水砷超标的问题。</w:t>
      </w:r>
      <w:r>
        <w:rPr>
          <w:rFonts w:hint="eastAsia" w:hAnsi="宋体" w:eastAsia="宋体" w:cs="Times New Roman"/>
          <w:b w:val="0"/>
          <w:bCs/>
          <w:sz w:val="24"/>
          <w:szCs w:val="24"/>
          <w:lang w:val="en-US" w:eastAsia="zh-CN"/>
        </w:rPr>
        <w:t>其次，部分省份的数据差异来源于采样因素，如两个年度</w:t>
      </w:r>
      <w:r>
        <w:rPr>
          <w:rFonts w:hint="eastAsia" w:hAnsi="宋体" w:eastAsia="宋体" w:cs="Times New Roman"/>
          <w:b w:val="0"/>
          <w:bCs/>
          <w:color w:val="auto"/>
          <w:sz w:val="24"/>
          <w:szCs w:val="24"/>
          <w:lang w:val="en-US" w:eastAsia="zh-CN"/>
        </w:rPr>
        <w:t>水样采集时间（枯水期</w:t>
      </w:r>
      <w:bookmarkStart w:id="14" w:name="_GoBack"/>
      <w:bookmarkEnd w:id="14"/>
      <w:r>
        <w:rPr>
          <w:rFonts w:hint="eastAsia" w:hAnsi="宋体" w:eastAsia="宋体" w:cs="Times New Roman"/>
          <w:b w:val="0"/>
          <w:bCs/>
          <w:color w:val="auto"/>
          <w:sz w:val="24"/>
          <w:szCs w:val="24"/>
          <w:lang w:val="en-US" w:eastAsia="zh-CN"/>
        </w:rPr>
        <w:t>或丰水期）和地下水水源点位置（如云南谷芹村供水厂有两个水源点，水厂根据出水量和居民用水情况进行交叉式水源供水）的不同，从</w:t>
      </w:r>
      <w:r>
        <w:rPr>
          <w:rFonts w:hint="eastAsia" w:hAnsi="宋体" w:eastAsia="宋体" w:cs="Times New Roman"/>
          <w:b w:val="0"/>
          <w:bCs/>
          <w:sz w:val="24"/>
          <w:szCs w:val="24"/>
          <w:lang w:val="en-US" w:eastAsia="zh-CN"/>
        </w:rPr>
        <w:t>而导致砷含量检测结果存在差异。此外，不同的检测人员也可能引入随机误差，导致检测数值的差异。本年度，湖北、云南、甘肃等水砷合格率高于上一年度，即是由于采样或检测技术的因素所致。</w:t>
      </w:r>
      <w:bookmarkStart w:id="13" w:name="OLE_LINK17"/>
    </w:p>
    <w:p>
      <w:pPr>
        <w:pStyle w:val="32"/>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hAnsi="宋体" w:eastAsia="宋体" w:cs="Times New Roman"/>
          <w:b w:val="0"/>
          <w:bCs/>
          <w:sz w:val="24"/>
          <w:szCs w:val="24"/>
          <w:lang w:val="en-US" w:eastAsia="zh-CN"/>
        </w:rPr>
      </w:pPr>
      <w:r>
        <w:rPr>
          <w:rFonts w:hint="eastAsia" w:hAnsi="宋体" w:eastAsia="宋体" w:cs="Times New Roman"/>
          <w:b w:val="0"/>
          <w:bCs/>
          <w:color w:val="auto"/>
          <w:sz w:val="24"/>
          <w:szCs w:val="24"/>
          <w:lang w:val="en-US" w:eastAsia="zh-CN"/>
        </w:rPr>
        <w:t>针对尚存高水砷暴露隐患的病区，建议效仿实施有效举措的省份，积极制定具体的改善措施，如增设降砷设备，引入合格水源等。对于采样和检测因素导致的水砷波动，应进一步规范监测过</w:t>
      </w:r>
      <w:r>
        <w:rPr>
          <w:rFonts w:hint="eastAsia" w:hAnsi="宋体" w:eastAsia="宋体" w:cs="Times New Roman"/>
          <w:b w:val="0"/>
          <w:bCs/>
          <w:sz w:val="24"/>
          <w:szCs w:val="24"/>
          <w:lang w:val="en-US" w:eastAsia="zh-CN"/>
        </w:rPr>
        <w:t>程中的质量控制，如增加采样的频次和采样数量，提高水样代表性，同时要做好实验室质控工作，提高检测人员的专业水平和技术能力，以减少随机误差的影响。</w:t>
      </w:r>
    </w:p>
    <w:p>
      <w:pPr>
        <w:pStyle w:val="32"/>
        <w:keepNext w:val="0"/>
        <w:keepLines w:val="0"/>
        <w:pageBreakBefore w:val="0"/>
        <w:widowControl w:val="0"/>
        <w:kinsoku/>
        <w:wordWrap/>
        <w:overflowPunct/>
        <w:topLinePunct w:val="0"/>
        <w:autoSpaceDE/>
        <w:autoSpaceDN/>
        <w:bidi w:val="0"/>
        <w:snapToGrid/>
        <w:spacing w:line="360" w:lineRule="auto"/>
        <w:ind w:firstLine="482"/>
        <w:textAlignment w:val="auto"/>
        <w:rPr>
          <w:rFonts w:hint="default" w:hAnsi="宋体" w:eastAsia="宋体" w:cs="Times New Roman"/>
          <w:b/>
          <w:sz w:val="24"/>
          <w:szCs w:val="24"/>
          <w:lang w:val="en-US" w:eastAsia="zh-CN"/>
        </w:rPr>
      </w:pPr>
      <w:r>
        <w:rPr>
          <w:rFonts w:hint="eastAsia" w:hAnsi="宋体" w:eastAsia="宋体" w:cs="Times New Roman"/>
          <w:b/>
          <w:sz w:val="24"/>
          <w:szCs w:val="24"/>
          <w:lang w:val="en-US" w:eastAsia="zh-CN"/>
        </w:rPr>
        <w:t>（三）个别地区饮水高砷暴露依然存在，</w:t>
      </w:r>
      <w:r>
        <w:rPr>
          <w:rFonts w:hint="eastAsia" w:hAnsi="宋体" w:eastAsia="宋体" w:cs="Times New Roman"/>
          <w:b/>
          <w:bCs w:val="0"/>
          <w:sz w:val="24"/>
          <w:szCs w:val="24"/>
          <w:highlight w:val="none"/>
          <w:lang w:val="en-US" w:eastAsia="zh-CN"/>
        </w:rPr>
        <w:t>病区消除评价距离规划目标</w:t>
      </w:r>
      <w:r>
        <w:rPr>
          <w:rFonts w:hint="eastAsia" w:hAnsi="宋体" w:eastAsia="宋体" w:cs="Times New Roman"/>
          <w:b/>
          <w:bCs w:val="0"/>
          <w:sz w:val="24"/>
          <w:szCs w:val="24"/>
          <w:lang w:val="en-US" w:eastAsia="zh-CN"/>
        </w:rPr>
        <w:t>尚有一定距离，</w:t>
      </w:r>
      <w:r>
        <w:rPr>
          <w:rFonts w:hint="eastAsia" w:hAnsi="宋体" w:eastAsia="宋体" w:cs="Times New Roman"/>
          <w:b/>
          <w:sz w:val="24"/>
          <w:szCs w:val="24"/>
          <w:lang w:val="en-US" w:eastAsia="zh-CN"/>
        </w:rPr>
        <w:t>需积极落实改水降砷措施</w:t>
      </w:r>
    </w:p>
    <w:p>
      <w:pPr>
        <w:pStyle w:val="1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目前，全国饮水型砷中毒病区（高砷）村已基本全部落实了改水措施，然而，根据本年度监测结果</w:t>
      </w:r>
      <w:r>
        <w:rPr>
          <w:rFonts w:hint="eastAsia" w:cs="Times New Roman"/>
          <w:color w:val="auto"/>
          <w:sz w:val="24"/>
          <w:lang w:val="en-US" w:eastAsia="zh-CN"/>
        </w:rPr>
        <w:t>，</w:t>
      </w:r>
      <w:r>
        <w:rPr>
          <w:rFonts w:hint="eastAsia" w:ascii="Times New Roman" w:hAnsi="Times New Roman" w:cs="Times New Roman"/>
          <w:color w:val="auto"/>
          <w:sz w:val="24"/>
          <w:lang w:val="en-US" w:eastAsia="zh-CN"/>
        </w:rPr>
        <w:t>按照2022</w:t>
      </w:r>
      <w:r>
        <w:rPr>
          <w:rFonts w:hint="eastAsia" w:cs="Times New Roman"/>
          <w:color w:val="auto"/>
          <w:sz w:val="24"/>
          <w:lang w:val="en-US" w:eastAsia="zh-CN"/>
        </w:rPr>
        <w:t>年</w:t>
      </w:r>
      <w:r>
        <w:rPr>
          <w:rFonts w:hint="default" w:hAnsi="宋体" w:eastAsia="宋体" w:cs="Times New Roman"/>
          <w:b w:val="0"/>
          <w:bCs/>
          <w:sz w:val="24"/>
          <w:szCs w:val="24"/>
          <w:lang w:val="en-US" w:eastAsia="zh-CN"/>
        </w:rPr>
        <w:t>生活饮用水卫生标准</w:t>
      </w:r>
      <w:r>
        <w:rPr>
          <w:rFonts w:hint="eastAsia" w:ascii="Times New Roman" w:hAnsi="Times New Roman" w:cs="Times New Roman"/>
          <w:color w:val="auto"/>
          <w:sz w:val="24"/>
          <w:lang w:val="en-US" w:eastAsia="zh-CN"/>
        </w:rPr>
        <w:t>，仍有5个省份存在</w:t>
      </w:r>
      <w:r>
        <w:rPr>
          <w:rFonts w:hint="eastAsia" w:cs="Times New Roman"/>
          <w:color w:val="auto"/>
          <w:sz w:val="24"/>
          <w:lang w:val="en-US" w:eastAsia="zh-CN"/>
        </w:rPr>
        <w:t>水砷含量</w:t>
      </w:r>
      <w:r>
        <w:rPr>
          <w:rFonts w:hint="eastAsia" w:ascii="Times New Roman" w:hAnsi="Times New Roman" w:cs="Times New Roman"/>
          <w:color w:val="auto"/>
          <w:sz w:val="24"/>
          <w:lang w:val="en-US" w:eastAsia="zh-CN"/>
        </w:rPr>
        <w:t>超标的村。其中，山西省共有15个超标村，水砷含量范围在0.011至0.057mg/L之间，覆盖21</w:t>
      </w:r>
      <w:r>
        <w:rPr>
          <w:rFonts w:hint="eastAsia" w:cs="Times New Roman"/>
          <w:color w:val="auto"/>
          <w:sz w:val="24"/>
          <w:lang w:val="en-US" w:eastAsia="zh-CN"/>
        </w:rPr>
        <w:t>,</w:t>
      </w:r>
      <w:r>
        <w:rPr>
          <w:rFonts w:hint="eastAsia" w:ascii="Times New Roman" w:hAnsi="Times New Roman" w:cs="Times New Roman"/>
          <w:color w:val="auto"/>
          <w:sz w:val="24"/>
          <w:lang w:val="en-US" w:eastAsia="zh-CN"/>
        </w:rPr>
        <w:t>397人。四川省雅江县有1个超标村，水砷含量为0.012mg/L，覆盖315人。甘肃省舟曲县有1个超标村，水砷含量为0.016mg/L，覆盖425人。新疆乌苏市有2个超标村，水砷含量分别为0.06mg/L和0.021mg/L，覆盖919人。内蒙古的改水村中有57个超标村，水砷含量范围在0.011至0.199mg/L之间，覆盖128,592人；此外，还有4个未改水的村水砷超标，</w:t>
      </w:r>
      <w:r>
        <w:rPr>
          <w:rFonts w:hint="eastAsia" w:cs="Times New Roman"/>
          <w:color w:val="auto"/>
          <w:sz w:val="24"/>
          <w:lang w:val="en-US" w:eastAsia="zh-CN"/>
        </w:rPr>
        <w:t>覆盖</w:t>
      </w:r>
      <w:r>
        <w:rPr>
          <w:rFonts w:hint="eastAsia" w:ascii="Times New Roman" w:hAnsi="Times New Roman" w:cs="Times New Roman"/>
          <w:color w:val="auto"/>
          <w:sz w:val="24"/>
          <w:lang w:val="en-US" w:eastAsia="zh-CN"/>
        </w:rPr>
        <w:t>136人。上述</w:t>
      </w:r>
      <w:r>
        <w:rPr>
          <w:rFonts w:hint="eastAsia" w:cs="Times New Roman"/>
          <w:color w:val="auto"/>
          <w:sz w:val="24"/>
          <w:lang w:val="en-US" w:eastAsia="zh-CN"/>
        </w:rPr>
        <w:t>水砷含量超标的</w:t>
      </w:r>
      <w:r>
        <w:rPr>
          <w:rFonts w:hint="eastAsia" w:ascii="Times New Roman" w:hAnsi="Times New Roman" w:cs="Times New Roman"/>
          <w:color w:val="auto"/>
          <w:sz w:val="24"/>
          <w:lang w:val="en-US" w:eastAsia="zh-CN"/>
        </w:rPr>
        <w:t>病区村共计覆盖人口为151,784人。</w:t>
      </w:r>
      <w:r>
        <w:rPr>
          <w:rFonts w:hint="eastAsia" w:cs="Times New Roman"/>
          <w:color w:val="auto"/>
          <w:sz w:val="24"/>
          <w:lang w:val="en-US" w:eastAsia="zh-CN"/>
        </w:rPr>
        <w:t>按照以往2006年</w:t>
      </w:r>
      <w:r>
        <w:rPr>
          <w:rFonts w:hint="default" w:hAnsi="宋体" w:eastAsia="宋体" w:cs="Times New Roman"/>
          <w:b w:val="0"/>
          <w:bCs/>
          <w:sz w:val="24"/>
          <w:szCs w:val="24"/>
          <w:lang w:val="en-US" w:eastAsia="zh-CN"/>
        </w:rPr>
        <w:t>生活饮用水卫生标准</w:t>
      </w:r>
      <w:r>
        <w:rPr>
          <w:rFonts w:hint="eastAsia" w:hAnsi="宋体" w:cs="Times New Roman"/>
          <w:b w:val="0"/>
          <w:bCs/>
          <w:sz w:val="24"/>
          <w:szCs w:val="24"/>
          <w:lang w:val="en-US" w:eastAsia="zh-CN"/>
        </w:rPr>
        <w:t>，</w:t>
      </w:r>
      <w:r>
        <w:rPr>
          <w:rFonts w:hint="eastAsia" w:cs="Times New Roman"/>
          <w:color w:val="auto"/>
          <w:sz w:val="24"/>
          <w:lang w:val="en-US" w:eastAsia="zh-CN"/>
        </w:rPr>
        <w:t>全国120个病区（高砷）县的消除率为96.67%，但根据新的2022</w:t>
      </w:r>
      <w:r>
        <w:rPr>
          <w:rFonts w:hint="eastAsia" w:ascii="Times New Roman" w:hAnsi="Times New Roman" w:cs="Times New Roman"/>
          <w:color w:val="auto"/>
          <w:sz w:val="24"/>
          <w:highlight w:val="none"/>
          <w:lang w:val="en-US" w:eastAsia="zh-CN"/>
        </w:rPr>
        <w:t>年的生活饮用水卫生标准，</w:t>
      </w:r>
      <w:r>
        <w:rPr>
          <w:rFonts w:hint="eastAsia" w:cs="Times New Roman"/>
          <w:color w:val="auto"/>
          <w:sz w:val="24"/>
          <w:lang w:val="en-US" w:eastAsia="zh-CN"/>
        </w:rPr>
        <w:t>病区（高砷）县的消除率降为88.33%，距离</w:t>
      </w:r>
      <w:r>
        <w:rPr>
          <w:rFonts w:hint="eastAsia"/>
          <w:sz w:val="24"/>
        </w:rPr>
        <w:t>巩固提升行动目标（2025年达到95%的</w:t>
      </w:r>
      <w:r>
        <w:rPr>
          <w:rFonts w:hint="eastAsia"/>
          <w:sz w:val="24"/>
          <w:lang w:val="en-US" w:eastAsia="zh-CN"/>
        </w:rPr>
        <w:t>消除</w:t>
      </w:r>
      <w:r>
        <w:rPr>
          <w:rFonts w:hint="eastAsia"/>
          <w:sz w:val="24"/>
        </w:rPr>
        <w:t>目标）</w:t>
      </w:r>
      <w:r>
        <w:rPr>
          <w:rFonts w:hint="eastAsia"/>
          <w:sz w:val="24"/>
          <w:lang w:val="en-US" w:eastAsia="zh-CN"/>
        </w:rPr>
        <w:t>有较大差距</w:t>
      </w:r>
      <w:r>
        <w:rPr>
          <w:rFonts w:hint="eastAsia" w:ascii="Times New Roman" w:hAnsi="Times New Roman" w:cs="Times New Roman"/>
          <w:color w:val="auto"/>
          <w:sz w:val="24"/>
          <w:highlight w:val="none"/>
          <w:lang w:val="en-US" w:eastAsia="zh-CN"/>
        </w:rPr>
        <w:t>。</w:t>
      </w:r>
      <w:r>
        <w:rPr>
          <w:rFonts w:hint="eastAsia" w:cs="Times New Roman"/>
          <w:color w:val="auto"/>
          <w:sz w:val="24"/>
          <w:lang w:val="en-US" w:eastAsia="zh-CN"/>
        </w:rPr>
        <w:t>因此，改水降砷工作不容忽视。</w:t>
      </w:r>
      <w:r>
        <w:rPr>
          <w:rFonts w:hint="eastAsia" w:ascii="Times New Roman" w:hAnsi="Times New Roman" w:cs="Times New Roman"/>
          <w:color w:val="auto"/>
          <w:sz w:val="24"/>
          <w:lang w:val="en-US" w:eastAsia="zh-CN"/>
        </w:rPr>
        <w:t>建议各相关部门之间加强沟通和协作</w:t>
      </w:r>
      <w:r>
        <w:rPr>
          <w:rFonts w:hint="eastAsia" w:cs="Times New Roman"/>
          <w:color w:val="auto"/>
          <w:sz w:val="24"/>
          <w:lang w:val="en-US" w:eastAsia="zh-CN"/>
        </w:rPr>
        <w:t>，</w:t>
      </w:r>
      <w:r>
        <w:rPr>
          <w:rFonts w:hint="eastAsia" w:ascii="Times New Roman" w:hAnsi="Times New Roman" w:cs="Times New Roman"/>
          <w:color w:val="auto"/>
          <w:sz w:val="24"/>
          <w:lang w:val="en-US" w:eastAsia="zh-CN"/>
        </w:rPr>
        <w:t>在上述地区尽快落实</w:t>
      </w:r>
      <w:r>
        <w:rPr>
          <w:rFonts w:hint="eastAsia" w:cs="Times New Roman"/>
          <w:color w:val="auto"/>
          <w:sz w:val="24"/>
          <w:lang w:val="en-US" w:eastAsia="zh-CN"/>
        </w:rPr>
        <w:t>和完善</w:t>
      </w:r>
      <w:r>
        <w:rPr>
          <w:rFonts w:hint="eastAsia" w:ascii="Times New Roman" w:hAnsi="Times New Roman" w:cs="Times New Roman"/>
          <w:color w:val="auto"/>
          <w:sz w:val="24"/>
          <w:lang w:val="en-US" w:eastAsia="zh-CN"/>
        </w:rPr>
        <w:t>改水措施，</w:t>
      </w:r>
      <w:r>
        <w:rPr>
          <w:rFonts w:hint="eastAsia" w:cs="Times New Roman"/>
          <w:color w:val="auto"/>
          <w:sz w:val="24"/>
          <w:lang w:val="en-US" w:eastAsia="zh-CN"/>
        </w:rPr>
        <w:t>加速</w:t>
      </w:r>
      <w:r>
        <w:rPr>
          <w:rFonts w:hint="eastAsia"/>
          <w:sz w:val="24"/>
        </w:rPr>
        <w:t>巩固提升行动目标</w:t>
      </w:r>
      <w:r>
        <w:rPr>
          <w:rFonts w:hint="eastAsia"/>
          <w:sz w:val="24"/>
          <w:lang w:val="en-US" w:eastAsia="zh-CN"/>
        </w:rPr>
        <w:t>的实现，</w:t>
      </w:r>
      <w:r>
        <w:rPr>
          <w:rFonts w:hint="eastAsia" w:cs="Times New Roman"/>
          <w:color w:val="auto"/>
          <w:sz w:val="24"/>
          <w:lang w:val="en-US" w:eastAsia="zh-CN"/>
        </w:rPr>
        <w:t>保障</w:t>
      </w:r>
      <w:r>
        <w:rPr>
          <w:rFonts w:hint="eastAsia" w:ascii="Times New Roman" w:hAnsi="Times New Roman" w:cs="Times New Roman"/>
          <w:color w:val="auto"/>
          <w:sz w:val="24"/>
          <w:lang w:val="en-US" w:eastAsia="zh-CN"/>
        </w:rPr>
        <w:t>病区居民身体健康。</w:t>
      </w:r>
    </w:p>
    <w:p>
      <w:pPr>
        <w:pStyle w:val="10"/>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cs="Times New Roman"/>
          <w:b/>
          <w:bCs/>
          <w:color w:val="auto"/>
          <w:sz w:val="24"/>
          <w:lang w:val="en-US" w:eastAsia="zh-CN"/>
        </w:rPr>
      </w:pPr>
      <w:r>
        <w:rPr>
          <w:rFonts w:hint="eastAsia" w:cs="Times New Roman"/>
          <w:b/>
          <w:bCs/>
          <w:color w:val="auto"/>
          <w:sz w:val="24"/>
          <w:lang w:val="en-US" w:eastAsia="zh-CN"/>
        </w:rPr>
        <w:t>（四）可疑砷中毒患者增加，病情监测工作有待进一步加强</w:t>
      </w:r>
    </w:p>
    <w:p>
      <w:pPr>
        <w:pStyle w:val="10"/>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s="Times New Roman"/>
          <w:color w:val="auto"/>
          <w:sz w:val="24"/>
          <w:lang w:val="en-US" w:eastAsia="zh-CN"/>
        </w:rPr>
      </w:pPr>
      <w:r>
        <w:rPr>
          <w:rFonts w:hint="eastAsia" w:cs="Times New Roman"/>
          <w:color w:val="auto"/>
          <w:sz w:val="24"/>
          <w:lang w:val="en-US" w:eastAsia="zh-CN"/>
        </w:rPr>
        <w:t>本年度，全国所有的病区县均开展了砷中毒病情的监测工作。目前，全国共有3,853名砷中毒患者，相比上一年度减少了205人，均为死亡或搬迁等因素自然减员。值得注意的是，本年度可疑患者的数量为1,003人，较上一年度增加了827人，主要来源于内蒙古新增了863名新诊断的可疑病例。此外，云南省在病情调查过程中排除了31例既往被判定为可疑的病例，河南、宁夏和新疆等地的可疑患者数量也有少量波动。病情调查波动反映出部分地区工作人员对于砷中毒病例诊断标准的学习和把握还存在不足，尤其在正常、可疑和轻度病例的区分过程中存在模糊。因此，需要加强相关培训，提高监测工作人员对砷中毒的诊断能力。</w:t>
      </w:r>
    </w:p>
    <w:bookmarkEnd w:id="13"/>
    <w:p>
      <w:pPr>
        <w:keepNext w:val="0"/>
        <w:keepLines w:val="0"/>
        <w:pageBreakBefore w:val="0"/>
        <w:kinsoku/>
        <w:wordWrap/>
        <w:overflowPunct/>
        <w:topLinePunct w:val="0"/>
        <w:autoSpaceDE/>
        <w:autoSpaceDN/>
        <w:bidi w:val="0"/>
        <w:spacing w:line="360" w:lineRule="auto"/>
        <w:ind w:firstLine="480" w:firstLineChars="200"/>
        <w:textAlignment w:val="auto"/>
        <w:rPr>
          <w:rFonts w:hint="default"/>
          <w:b/>
          <w:bCs/>
          <w:highlight w:val="none"/>
          <w:lang w:val="en-US" w:eastAsia="zh-CN"/>
        </w:rPr>
      </w:pPr>
      <w:r>
        <w:rPr>
          <w:rFonts w:hint="eastAsia"/>
          <w:b/>
          <w:bCs/>
          <w:highlight w:val="none"/>
          <w:lang w:val="en-US" w:eastAsia="zh-CN"/>
        </w:rPr>
        <w:t>（五）病区消除</w:t>
      </w:r>
      <w:r>
        <w:rPr>
          <w:rFonts w:hint="default"/>
          <w:b/>
          <w:bCs/>
          <w:highlight w:val="none"/>
          <w:lang w:val="en-US" w:eastAsia="zh-CN"/>
        </w:rPr>
        <w:t>评价</w:t>
      </w:r>
      <w:r>
        <w:rPr>
          <w:rFonts w:hint="eastAsia"/>
          <w:b/>
          <w:bCs/>
          <w:highlight w:val="none"/>
          <w:lang w:val="en-US" w:eastAsia="zh-CN"/>
        </w:rPr>
        <w:t>结果出现反复，应完善消除评价标准</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按照2019年版饮水型地方性砷中毒消除评价办法，饮水砷含量符合国家生活饮用水卫生标准（GB5749），除与砷相关的癌症患者外，无地方性砷中毒新发病例即可判定病区（高砷）村达到消除标准；当病区（高砷）县95%及以上的病区（高砷）村达到消除标准时，可判定该县达到消除标准。</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根据2006年的生活饮用水卫生标准，本年度达到消除标准的县数为116个，比去年减少了3个。而根据2022年的标准，本年度达到消除标准的县数为106个，比去年减少了1个。不仅数据发生了变化，未消除县名单也发生了较大的变动。一些村的水砷浓度在不同年度有所波动，恰好高于或低于标准限值，导致这些村的消除评价结果出现反复。同时，一些病区（高砷）县的病区（高砷）村数量相对较少，个别村消除评价结果的变化将直接影响该县的消除评价结果。按照新的生活饮用水标准，饮水型砷中毒病（高砷）区的消除评价结果在年度间的波动进一步增大。因此，建议对目前的饮水型砷中毒病区的消除评价标准进行修改和完善，以避免由于水砷浓度的轻微波动而导致消除评价结果在短时间内出现较大变化。</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（六）基层防治队伍不稳定，防治技术力量有待加强</w:t>
      </w:r>
    </w:p>
    <w:bookmarkEnd w:id="0"/>
    <w:bookmarkEnd w:id="7"/>
    <w:bookmarkEnd w:id="8"/>
    <w:bookmarkEnd w:id="9"/>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近年来，全国地砷病病区或高砷区省份实施全覆盖监测工作，工作量大幅提升。一些基层单位防治队伍不稳定，技术力量薄弱，不能满足监测防治工作需</w:t>
      </w:r>
      <w:r>
        <w:rPr>
          <w:rFonts w:hint="eastAsia" w:cs="Times New Roman"/>
          <w:highlight w:val="none"/>
          <w:lang w:val="en-US" w:eastAsia="zh-CN"/>
        </w:rPr>
        <w:t>求</w:t>
      </w:r>
      <w:r>
        <w:rPr>
          <w:rFonts w:hint="eastAsia" w:ascii="Times New Roman" w:hAnsi="Times New Roman" w:cs="Times New Roman"/>
          <w:highlight w:val="none"/>
          <w:lang w:val="en-US" w:eastAsia="zh-CN"/>
        </w:rPr>
        <w:t>。各省级疾控部门要进一步加强基层地方病专业人员队伍建设，加强防治技术培训，持续保障全国地方性砷中毒监测</w:t>
      </w:r>
      <w:r>
        <w:rPr>
          <w:rFonts w:hint="eastAsia" w:cs="Times New Roman"/>
          <w:highlight w:val="none"/>
          <w:lang w:val="en-US" w:eastAsia="zh-CN"/>
        </w:rPr>
        <w:t>的</w:t>
      </w:r>
      <w:r>
        <w:rPr>
          <w:rFonts w:hint="eastAsia" w:ascii="Times New Roman" w:hAnsi="Times New Roman" w:cs="Times New Roman"/>
          <w:highlight w:val="none"/>
          <w:lang w:val="en-US" w:eastAsia="zh-CN"/>
        </w:rPr>
        <w:t>质量。</w:t>
      </w:r>
    </w:p>
    <w:p>
      <w:pPr>
        <w:keepNext w:val="0"/>
        <w:keepLines w:val="0"/>
        <w:pageBreakBefore w:val="0"/>
        <w:kinsoku/>
        <w:wordWrap/>
        <w:overflowPunct/>
        <w:topLinePunct w:val="0"/>
        <w:autoSpaceDE/>
        <w:autoSpaceDN/>
        <w:bidi w:val="0"/>
        <w:spacing w:line="360" w:lineRule="auto"/>
        <w:ind w:firstLine="420" w:firstLineChars="200"/>
        <w:textAlignment w:val="auto"/>
        <w:rPr>
          <w:rFonts w:eastAsia="仿宋_GB2312" w:cs="宋体"/>
          <w:sz w:val="18"/>
          <w:szCs w:val="18"/>
        </w:rPr>
      </w:pPr>
      <w:r>
        <w:rPr>
          <w:rFonts w:hint="eastAsia"/>
          <w:bCs/>
          <w:sz w:val="21"/>
          <w:szCs w:val="21"/>
        </w:rPr>
        <w:t>致谢：</w:t>
      </w:r>
      <w:r>
        <w:rPr>
          <w:rFonts w:hint="eastAsia" w:eastAsia="宋体" w:cs="Times New Roman"/>
          <w:bCs/>
          <w:sz w:val="21"/>
          <w:szCs w:val="21"/>
        </w:rPr>
        <w:t>感谢各项目省（直辖市、自治区）</w:t>
      </w:r>
      <w:r>
        <w:rPr>
          <w:rFonts w:hint="eastAsia" w:eastAsia="宋体" w:cs="Times New Roman"/>
          <w:bCs/>
          <w:sz w:val="21"/>
          <w:szCs w:val="21"/>
          <w:lang w:val="en-US" w:eastAsia="zh-CN"/>
        </w:rPr>
        <w:t>疾病预防控制局、</w:t>
      </w:r>
      <w:r>
        <w:rPr>
          <w:rFonts w:hint="eastAsia" w:eastAsia="宋体" w:cs="Times New Roman"/>
          <w:bCs/>
          <w:sz w:val="21"/>
          <w:szCs w:val="21"/>
        </w:rPr>
        <w:t>疾病预防控制中心（地方病防治研究所）</w:t>
      </w:r>
      <w:r>
        <w:rPr>
          <w:rFonts w:hint="eastAsia"/>
          <w:bCs/>
          <w:sz w:val="21"/>
          <w:szCs w:val="21"/>
        </w:rPr>
        <w:t>以及参加项目工作的各监测县疾病预防控制中心的同志们！</w:t>
      </w:r>
    </w:p>
    <w:p>
      <w:pPr>
        <w:pStyle w:val="10"/>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eastAsia="仿宋_GB2312"/>
          <w:color w:val="auto"/>
          <w:sz w:val="21"/>
          <w:szCs w:val="21"/>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AndChars" w:linePitch="326" w:charSpace="0"/>
        </w:sectPr>
      </w:pPr>
    </w:p>
    <w:p>
      <w:pPr>
        <w:widowControl/>
        <w:rPr>
          <w:rFonts w:ascii="宋体" w:hAnsi="宋体"/>
          <w:b/>
          <w:sz w:val="21"/>
          <w:szCs w:val="21"/>
        </w:rPr>
      </w:pPr>
    </w:p>
    <w:sectPr>
      <w:pgSz w:w="11906" w:h="16838"/>
      <w:pgMar w:top="1440" w:right="1797" w:bottom="1440" w:left="1797" w:header="851" w:footer="992" w:gutter="0"/>
      <w:pgBorders>
        <w:top w:val="none" w:sz="0" w:space="0"/>
        <w:left w:val="none" w:sz="0" w:space="0"/>
        <w:bottom w:val="none" w:sz="0" w:space="0"/>
        <w:right w:val="none" w:sz="0" w:space="0"/>
      </w:pgBorders>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Style w:val="15"/>
      </w:rPr>
      <w:fldChar w:fldCharType="begin"/>
    </w:r>
    <w:r>
      <w:rPr>
        <w:rStyle w:val="15"/>
      </w:rPr>
      <w:instrText xml:space="preserve"> PAGE </w:instrText>
    </w:r>
    <w:r>
      <w:rPr>
        <w:rStyle w:val="15"/>
      </w:rPr>
      <w:fldChar w:fldCharType="separate"/>
    </w:r>
    <w:r>
      <w:rPr>
        <w:rStyle w:val="15"/>
      </w:rPr>
      <w:t>4</w:t>
    </w:r>
    <w:r>
      <w:rPr>
        <w:rStyle w:val="1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68983"/>
    <w:multiLevelType w:val="singleLevel"/>
    <w:tmpl w:val="80468983"/>
    <w:lvl w:ilvl="0" w:tentative="0">
      <w:start w:val="1"/>
      <w:numFmt w:val="chineseCounting"/>
      <w:suff w:val="nothing"/>
      <w:lvlText w:val="（%1）"/>
      <w:lvlJc w:val="left"/>
      <w:rPr>
        <w:rFonts w:hint="eastAsia"/>
      </w:rPr>
    </w:lvl>
  </w:abstractNum>
  <w:abstractNum w:abstractNumId="1">
    <w:nsid w:val="CEE4D24C"/>
    <w:multiLevelType w:val="singleLevel"/>
    <w:tmpl w:val="CEE4D24C"/>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jdhY2JhMDlmMTMxOGMwOGQ1MjIzMmQ3OWFkNDgifQ=="/>
    <w:docVar w:name="KSO_WPS_MARK_KEY" w:val="a9bffd0c-763b-452a-b8c9-0185343f2fbc"/>
    <w:docVar w:name="KY_MEDREF_DOCUID" w:val="{B09A4528-1539-40BA-BA8D-0FBC0837783F}"/>
    <w:docVar w:name="KY_MEDREF_VERSION" w:val="3"/>
  </w:docVars>
  <w:rsids>
    <w:rsidRoot w:val="00070F60"/>
    <w:rsid w:val="0000038C"/>
    <w:rsid w:val="00001233"/>
    <w:rsid w:val="00001B46"/>
    <w:rsid w:val="00002121"/>
    <w:rsid w:val="00002DC6"/>
    <w:rsid w:val="000036D9"/>
    <w:rsid w:val="00004821"/>
    <w:rsid w:val="00007396"/>
    <w:rsid w:val="0001029C"/>
    <w:rsid w:val="00010D49"/>
    <w:rsid w:val="000113EF"/>
    <w:rsid w:val="00011F5E"/>
    <w:rsid w:val="000124B6"/>
    <w:rsid w:val="00012C69"/>
    <w:rsid w:val="0001370F"/>
    <w:rsid w:val="00015336"/>
    <w:rsid w:val="000155AD"/>
    <w:rsid w:val="000156DF"/>
    <w:rsid w:val="00015AA5"/>
    <w:rsid w:val="00016C43"/>
    <w:rsid w:val="000171AE"/>
    <w:rsid w:val="00017D38"/>
    <w:rsid w:val="00020CCD"/>
    <w:rsid w:val="00020F0A"/>
    <w:rsid w:val="00021675"/>
    <w:rsid w:val="000227A2"/>
    <w:rsid w:val="00022809"/>
    <w:rsid w:val="000231DC"/>
    <w:rsid w:val="000237B8"/>
    <w:rsid w:val="00023A0D"/>
    <w:rsid w:val="00023C15"/>
    <w:rsid w:val="00023DA5"/>
    <w:rsid w:val="00024F7E"/>
    <w:rsid w:val="00030141"/>
    <w:rsid w:val="00030CBE"/>
    <w:rsid w:val="0003109B"/>
    <w:rsid w:val="000311B1"/>
    <w:rsid w:val="00031B67"/>
    <w:rsid w:val="0003209E"/>
    <w:rsid w:val="0003340E"/>
    <w:rsid w:val="000336EA"/>
    <w:rsid w:val="00034B65"/>
    <w:rsid w:val="00034D93"/>
    <w:rsid w:val="0003505F"/>
    <w:rsid w:val="0003531C"/>
    <w:rsid w:val="00036AE4"/>
    <w:rsid w:val="000377EC"/>
    <w:rsid w:val="00040CD9"/>
    <w:rsid w:val="0004258A"/>
    <w:rsid w:val="0004373E"/>
    <w:rsid w:val="00043908"/>
    <w:rsid w:val="00043ADD"/>
    <w:rsid w:val="00046409"/>
    <w:rsid w:val="000468DE"/>
    <w:rsid w:val="00046BD5"/>
    <w:rsid w:val="00046CFD"/>
    <w:rsid w:val="00046D43"/>
    <w:rsid w:val="000502FB"/>
    <w:rsid w:val="00050308"/>
    <w:rsid w:val="000528BE"/>
    <w:rsid w:val="00052E5E"/>
    <w:rsid w:val="0005369F"/>
    <w:rsid w:val="00053988"/>
    <w:rsid w:val="000539E6"/>
    <w:rsid w:val="00054293"/>
    <w:rsid w:val="000551D8"/>
    <w:rsid w:val="00056982"/>
    <w:rsid w:val="000574B4"/>
    <w:rsid w:val="000574FC"/>
    <w:rsid w:val="000576FB"/>
    <w:rsid w:val="00057A99"/>
    <w:rsid w:val="00060107"/>
    <w:rsid w:val="00060116"/>
    <w:rsid w:val="000625BC"/>
    <w:rsid w:val="0006269C"/>
    <w:rsid w:val="00063A4C"/>
    <w:rsid w:val="00064628"/>
    <w:rsid w:val="000650BA"/>
    <w:rsid w:val="0006610B"/>
    <w:rsid w:val="0006706D"/>
    <w:rsid w:val="00070F60"/>
    <w:rsid w:val="00071235"/>
    <w:rsid w:val="00071CCB"/>
    <w:rsid w:val="00071D50"/>
    <w:rsid w:val="00073E3F"/>
    <w:rsid w:val="00074525"/>
    <w:rsid w:val="000748EA"/>
    <w:rsid w:val="00074C48"/>
    <w:rsid w:val="00076AC0"/>
    <w:rsid w:val="00077334"/>
    <w:rsid w:val="000774EE"/>
    <w:rsid w:val="0007774D"/>
    <w:rsid w:val="000806A0"/>
    <w:rsid w:val="000810B8"/>
    <w:rsid w:val="000815C8"/>
    <w:rsid w:val="000833AD"/>
    <w:rsid w:val="000839FE"/>
    <w:rsid w:val="0008425C"/>
    <w:rsid w:val="00085DD2"/>
    <w:rsid w:val="00085E16"/>
    <w:rsid w:val="000870F6"/>
    <w:rsid w:val="0008776E"/>
    <w:rsid w:val="00091967"/>
    <w:rsid w:val="00091AAA"/>
    <w:rsid w:val="00092C68"/>
    <w:rsid w:val="0009301D"/>
    <w:rsid w:val="00093655"/>
    <w:rsid w:val="00094414"/>
    <w:rsid w:val="000948BB"/>
    <w:rsid w:val="00095F5E"/>
    <w:rsid w:val="000971CF"/>
    <w:rsid w:val="00097650"/>
    <w:rsid w:val="00097818"/>
    <w:rsid w:val="0009781D"/>
    <w:rsid w:val="00097A6B"/>
    <w:rsid w:val="00097CDC"/>
    <w:rsid w:val="000A2D01"/>
    <w:rsid w:val="000A340F"/>
    <w:rsid w:val="000A479F"/>
    <w:rsid w:val="000A619C"/>
    <w:rsid w:val="000B1D77"/>
    <w:rsid w:val="000B2535"/>
    <w:rsid w:val="000B269E"/>
    <w:rsid w:val="000B2C05"/>
    <w:rsid w:val="000B41C5"/>
    <w:rsid w:val="000B5A0E"/>
    <w:rsid w:val="000B66E0"/>
    <w:rsid w:val="000B7130"/>
    <w:rsid w:val="000B7B5A"/>
    <w:rsid w:val="000C0EFB"/>
    <w:rsid w:val="000C3100"/>
    <w:rsid w:val="000C343C"/>
    <w:rsid w:val="000C354E"/>
    <w:rsid w:val="000C422E"/>
    <w:rsid w:val="000C72B3"/>
    <w:rsid w:val="000C735C"/>
    <w:rsid w:val="000C738A"/>
    <w:rsid w:val="000D0E20"/>
    <w:rsid w:val="000D1660"/>
    <w:rsid w:val="000D20BD"/>
    <w:rsid w:val="000D22BB"/>
    <w:rsid w:val="000D3302"/>
    <w:rsid w:val="000D3EEE"/>
    <w:rsid w:val="000D4785"/>
    <w:rsid w:val="000D5AEA"/>
    <w:rsid w:val="000D631B"/>
    <w:rsid w:val="000D6829"/>
    <w:rsid w:val="000D69F6"/>
    <w:rsid w:val="000D6E12"/>
    <w:rsid w:val="000D7788"/>
    <w:rsid w:val="000D7CE8"/>
    <w:rsid w:val="000E1FDD"/>
    <w:rsid w:val="000E2072"/>
    <w:rsid w:val="000E2EF7"/>
    <w:rsid w:val="000E40F2"/>
    <w:rsid w:val="000E4AB4"/>
    <w:rsid w:val="000E4F9A"/>
    <w:rsid w:val="000E539E"/>
    <w:rsid w:val="000E56B2"/>
    <w:rsid w:val="000F1711"/>
    <w:rsid w:val="000F1933"/>
    <w:rsid w:val="000F222D"/>
    <w:rsid w:val="000F39C7"/>
    <w:rsid w:val="000F42E3"/>
    <w:rsid w:val="000F4310"/>
    <w:rsid w:val="000F4D30"/>
    <w:rsid w:val="000F4ECB"/>
    <w:rsid w:val="000F5218"/>
    <w:rsid w:val="000F654A"/>
    <w:rsid w:val="000F6AC8"/>
    <w:rsid w:val="000F704B"/>
    <w:rsid w:val="000F724A"/>
    <w:rsid w:val="000F781D"/>
    <w:rsid w:val="0010167C"/>
    <w:rsid w:val="0010496F"/>
    <w:rsid w:val="00107473"/>
    <w:rsid w:val="00107B98"/>
    <w:rsid w:val="00112630"/>
    <w:rsid w:val="00113015"/>
    <w:rsid w:val="00113905"/>
    <w:rsid w:val="001144A7"/>
    <w:rsid w:val="001146FF"/>
    <w:rsid w:val="00114C8A"/>
    <w:rsid w:val="00114DD2"/>
    <w:rsid w:val="00114E87"/>
    <w:rsid w:val="00114F45"/>
    <w:rsid w:val="00115052"/>
    <w:rsid w:val="00115C79"/>
    <w:rsid w:val="00116AB5"/>
    <w:rsid w:val="00116AD8"/>
    <w:rsid w:val="00116F17"/>
    <w:rsid w:val="00121EE5"/>
    <w:rsid w:val="00123127"/>
    <w:rsid w:val="001243D3"/>
    <w:rsid w:val="001262D5"/>
    <w:rsid w:val="001263A4"/>
    <w:rsid w:val="00127A74"/>
    <w:rsid w:val="00127A77"/>
    <w:rsid w:val="00127B91"/>
    <w:rsid w:val="00131414"/>
    <w:rsid w:val="00132063"/>
    <w:rsid w:val="00132C01"/>
    <w:rsid w:val="00133740"/>
    <w:rsid w:val="00133D03"/>
    <w:rsid w:val="00134AAE"/>
    <w:rsid w:val="00136949"/>
    <w:rsid w:val="00136FA1"/>
    <w:rsid w:val="00136FB2"/>
    <w:rsid w:val="00137DE1"/>
    <w:rsid w:val="001400C7"/>
    <w:rsid w:val="001408D0"/>
    <w:rsid w:val="00140D11"/>
    <w:rsid w:val="00140DEF"/>
    <w:rsid w:val="00140EB8"/>
    <w:rsid w:val="001413A5"/>
    <w:rsid w:val="001419ED"/>
    <w:rsid w:val="00141B1A"/>
    <w:rsid w:val="00141D13"/>
    <w:rsid w:val="00141EAA"/>
    <w:rsid w:val="0014512B"/>
    <w:rsid w:val="00145AE2"/>
    <w:rsid w:val="0014609B"/>
    <w:rsid w:val="00146F72"/>
    <w:rsid w:val="0014763E"/>
    <w:rsid w:val="00150B53"/>
    <w:rsid w:val="00150BA0"/>
    <w:rsid w:val="00150DA3"/>
    <w:rsid w:val="00151343"/>
    <w:rsid w:val="00151B85"/>
    <w:rsid w:val="00151DCC"/>
    <w:rsid w:val="001527B9"/>
    <w:rsid w:val="00152E98"/>
    <w:rsid w:val="0015334E"/>
    <w:rsid w:val="00153707"/>
    <w:rsid w:val="0015430A"/>
    <w:rsid w:val="00154518"/>
    <w:rsid w:val="001566ED"/>
    <w:rsid w:val="00157483"/>
    <w:rsid w:val="001577A8"/>
    <w:rsid w:val="00160299"/>
    <w:rsid w:val="00160717"/>
    <w:rsid w:val="00160CFC"/>
    <w:rsid w:val="00162626"/>
    <w:rsid w:val="00162FF9"/>
    <w:rsid w:val="00163758"/>
    <w:rsid w:val="00164996"/>
    <w:rsid w:val="00166919"/>
    <w:rsid w:val="00170F5F"/>
    <w:rsid w:val="00171C5E"/>
    <w:rsid w:val="00173070"/>
    <w:rsid w:val="00173140"/>
    <w:rsid w:val="001737A3"/>
    <w:rsid w:val="00173827"/>
    <w:rsid w:val="0017413B"/>
    <w:rsid w:val="00175BA2"/>
    <w:rsid w:val="00175CE5"/>
    <w:rsid w:val="00176C86"/>
    <w:rsid w:val="00177766"/>
    <w:rsid w:val="00181A91"/>
    <w:rsid w:val="00182596"/>
    <w:rsid w:val="00182719"/>
    <w:rsid w:val="00182777"/>
    <w:rsid w:val="00182C5E"/>
    <w:rsid w:val="00183DD1"/>
    <w:rsid w:val="0018466C"/>
    <w:rsid w:val="00184800"/>
    <w:rsid w:val="00184A1D"/>
    <w:rsid w:val="00184A2B"/>
    <w:rsid w:val="00190747"/>
    <w:rsid w:val="001921D0"/>
    <w:rsid w:val="0019259E"/>
    <w:rsid w:val="00192BEB"/>
    <w:rsid w:val="00193CA5"/>
    <w:rsid w:val="00193CAF"/>
    <w:rsid w:val="00193F9B"/>
    <w:rsid w:val="00194CF0"/>
    <w:rsid w:val="00195C83"/>
    <w:rsid w:val="00195DB1"/>
    <w:rsid w:val="0019656D"/>
    <w:rsid w:val="00197794"/>
    <w:rsid w:val="001A1A18"/>
    <w:rsid w:val="001A3C3B"/>
    <w:rsid w:val="001A4E1F"/>
    <w:rsid w:val="001A772B"/>
    <w:rsid w:val="001A7B3C"/>
    <w:rsid w:val="001B1160"/>
    <w:rsid w:val="001B141E"/>
    <w:rsid w:val="001B193F"/>
    <w:rsid w:val="001B2F54"/>
    <w:rsid w:val="001B3AEF"/>
    <w:rsid w:val="001B3BEF"/>
    <w:rsid w:val="001B4FCB"/>
    <w:rsid w:val="001B574D"/>
    <w:rsid w:val="001B595C"/>
    <w:rsid w:val="001B5E6B"/>
    <w:rsid w:val="001B6F1D"/>
    <w:rsid w:val="001C0CBE"/>
    <w:rsid w:val="001C21A5"/>
    <w:rsid w:val="001C2222"/>
    <w:rsid w:val="001C3FB4"/>
    <w:rsid w:val="001C4A27"/>
    <w:rsid w:val="001C5916"/>
    <w:rsid w:val="001C71CB"/>
    <w:rsid w:val="001D0001"/>
    <w:rsid w:val="001D27C6"/>
    <w:rsid w:val="001D2BD4"/>
    <w:rsid w:val="001D2E9D"/>
    <w:rsid w:val="001D2F7E"/>
    <w:rsid w:val="001D3904"/>
    <w:rsid w:val="001D55CE"/>
    <w:rsid w:val="001D5F69"/>
    <w:rsid w:val="001D6A2F"/>
    <w:rsid w:val="001D6FDD"/>
    <w:rsid w:val="001D7247"/>
    <w:rsid w:val="001D731F"/>
    <w:rsid w:val="001D79A5"/>
    <w:rsid w:val="001E552F"/>
    <w:rsid w:val="001F0186"/>
    <w:rsid w:val="001F0B28"/>
    <w:rsid w:val="001F2F87"/>
    <w:rsid w:val="0020040A"/>
    <w:rsid w:val="0020095B"/>
    <w:rsid w:val="00203428"/>
    <w:rsid w:val="00203A9E"/>
    <w:rsid w:val="0020479E"/>
    <w:rsid w:val="00204B34"/>
    <w:rsid w:val="00205675"/>
    <w:rsid w:val="0020571F"/>
    <w:rsid w:val="00210564"/>
    <w:rsid w:val="00210582"/>
    <w:rsid w:val="00210835"/>
    <w:rsid w:val="0021167C"/>
    <w:rsid w:val="002117DF"/>
    <w:rsid w:val="00213052"/>
    <w:rsid w:val="00213246"/>
    <w:rsid w:val="0021330F"/>
    <w:rsid w:val="002135AF"/>
    <w:rsid w:val="0021464E"/>
    <w:rsid w:val="0021512C"/>
    <w:rsid w:val="00215202"/>
    <w:rsid w:val="00215868"/>
    <w:rsid w:val="002158AC"/>
    <w:rsid w:val="00215FCD"/>
    <w:rsid w:val="002206B3"/>
    <w:rsid w:val="00220753"/>
    <w:rsid w:val="00220C90"/>
    <w:rsid w:val="00222476"/>
    <w:rsid w:val="002229E2"/>
    <w:rsid w:val="002247E3"/>
    <w:rsid w:val="0022505B"/>
    <w:rsid w:val="0022572B"/>
    <w:rsid w:val="00225A53"/>
    <w:rsid w:val="0022678B"/>
    <w:rsid w:val="00226ACC"/>
    <w:rsid w:val="0022760E"/>
    <w:rsid w:val="002277E7"/>
    <w:rsid w:val="00230824"/>
    <w:rsid w:val="002308D5"/>
    <w:rsid w:val="00230AA6"/>
    <w:rsid w:val="00231AAD"/>
    <w:rsid w:val="002332D2"/>
    <w:rsid w:val="00234A6E"/>
    <w:rsid w:val="00235240"/>
    <w:rsid w:val="00235B07"/>
    <w:rsid w:val="00235C7A"/>
    <w:rsid w:val="002360CC"/>
    <w:rsid w:val="002372BE"/>
    <w:rsid w:val="00241F89"/>
    <w:rsid w:val="00242516"/>
    <w:rsid w:val="00242A49"/>
    <w:rsid w:val="00242D08"/>
    <w:rsid w:val="002432B7"/>
    <w:rsid w:val="002442C4"/>
    <w:rsid w:val="00244AA9"/>
    <w:rsid w:val="00244E53"/>
    <w:rsid w:val="00245C2A"/>
    <w:rsid w:val="00246331"/>
    <w:rsid w:val="00246887"/>
    <w:rsid w:val="00247608"/>
    <w:rsid w:val="002477F6"/>
    <w:rsid w:val="0025108B"/>
    <w:rsid w:val="0025448C"/>
    <w:rsid w:val="00254CD5"/>
    <w:rsid w:val="00256305"/>
    <w:rsid w:val="0025630C"/>
    <w:rsid w:val="00257688"/>
    <w:rsid w:val="00257D30"/>
    <w:rsid w:val="00260977"/>
    <w:rsid w:val="00260DD1"/>
    <w:rsid w:val="00260F0E"/>
    <w:rsid w:val="00261590"/>
    <w:rsid w:val="00262DB6"/>
    <w:rsid w:val="0026364E"/>
    <w:rsid w:val="00263E0B"/>
    <w:rsid w:val="00264042"/>
    <w:rsid w:val="00265C23"/>
    <w:rsid w:val="00266006"/>
    <w:rsid w:val="00266850"/>
    <w:rsid w:val="00266934"/>
    <w:rsid w:val="00266D3B"/>
    <w:rsid w:val="00266F67"/>
    <w:rsid w:val="002670FB"/>
    <w:rsid w:val="0026713F"/>
    <w:rsid w:val="00267319"/>
    <w:rsid w:val="002674E8"/>
    <w:rsid w:val="002702B9"/>
    <w:rsid w:val="002712AC"/>
    <w:rsid w:val="00271610"/>
    <w:rsid w:val="00271B08"/>
    <w:rsid w:val="00271E0E"/>
    <w:rsid w:val="00272359"/>
    <w:rsid w:val="002724F5"/>
    <w:rsid w:val="00272B24"/>
    <w:rsid w:val="00273F9F"/>
    <w:rsid w:val="002740A1"/>
    <w:rsid w:val="0027421B"/>
    <w:rsid w:val="002744AB"/>
    <w:rsid w:val="00274861"/>
    <w:rsid w:val="002758BD"/>
    <w:rsid w:val="00276B41"/>
    <w:rsid w:val="00276FFC"/>
    <w:rsid w:val="002820FD"/>
    <w:rsid w:val="00282FF1"/>
    <w:rsid w:val="00283885"/>
    <w:rsid w:val="00284075"/>
    <w:rsid w:val="00284943"/>
    <w:rsid w:val="00287024"/>
    <w:rsid w:val="0028735B"/>
    <w:rsid w:val="00287C43"/>
    <w:rsid w:val="002900C7"/>
    <w:rsid w:val="00291051"/>
    <w:rsid w:val="00292482"/>
    <w:rsid w:val="00292CF1"/>
    <w:rsid w:val="00292E64"/>
    <w:rsid w:val="002936B6"/>
    <w:rsid w:val="0029395B"/>
    <w:rsid w:val="002946C5"/>
    <w:rsid w:val="00294FE4"/>
    <w:rsid w:val="002A00C9"/>
    <w:rsid w:val="002A11D7"/>
    <w:rsid w:val="002A13A4"/>
    <w:rsid w:val="002A16A2"/>
    <w:rsid w:val="002A1C51"/>
    <w:rsid w:val="002A4987"/>
    <w:rsid w:val="002A72F2"/>
    <w:rsid w:val="002B01B9"/>
    <w:rsid w:val="002B0F39"/>
    <w:rsid w:val="002B15E0"/>
    <w:rsid w:val="002B1C9D"/>
    <w:rsid w:val="002B218A"/>
    <w:rsid w:val="002B22AD"/>
    <w:rsid w:val="002B43E5"/>
    <w:rsid w:val="002B4454"/>
    <w:rsid w:val="002B4A8E"/>
    <w:rsid w:val="002B6C08"/>
    <w:rsid w:val="002C196D"/>
    <w:rsid w:val="002C1B76"/>
    <w:rsid w:val="002C267F"/>
    <w:rsid w:val="002C421B"/>
    <w:rsid w:val="002C60A5"/>
    <w:rsid w:val="002C7408"/>
    <w:rsid w:val="002C7C79"/>
    <w:rsid w:val="002D0B0C"/>
    <w:rsid w:val="002D0C32"/>
    <w:rsid w:val="002D0CE3"/>
    <w:rsid w:val="002D25A7"/>
    <w:rsid w:val="002D3EB0"/>
    <w:rsid w:val="002D3FC6"/>
    <w:rsid w:val="002D4CE8"/>
    <w:rsid w:val="002D6A38"/>
    <w:rsid w:val="002D7961"/>
    <w:rsid w:val="002E00B7"/>
    <w:rsid w:val="002E1522"/>
    <w:rsid w:val="002E1D26"/>
    <w:rsid w:val="002E1FC1"/>
    <w:rsid w:val="002E2F3E"/>
    <w:rsid w:val="002E4AEB"/>
    <w:rsid w:val="002E4AF0"/>
    <w:rsid w:val="002E5173"/>
    <w:rsid w:val="002E6D84"/>
    <w:rsid w:val="002E73A1"/>
    <w:rsid w:val="002F0BB4"/>
    <w:rsid w:val="002F1674"/>
    <w:rsid w:val="002F18CB"/>
    <w:rsid w:val="002F21C9"/>
    <w:rsid w:val="002F22B8"/>
    <w:rsid w:val="002F3E06"/>
    <w:rsid w:val="0030046E"/>
    <w:rsid w:val="00303200"/>
    <w:rsid w:val="00303304"/>
    <w:rsid w:val="00303722"/>
    <w:rsid w:val="00304405"/>
    <w:rsid w:val="00304A36"/>
    <w:rsid w:val="00304BB8"/>
    <w:rsid w:val="00305EA3"/>
    <w:rsid w:val="0030601E"/>
    <w:rsid w:val="00306B7F"/>
    <w:rsid w:val="0031089D"/>
    <w:rsid w:val="003120EF"/>
    <w:rsid w:val="003125C4"/>
    <w:rsid w:val="003133E4"/>
    <w:rsid w:val="00313548"/>
    <w:rsid w:val="0031476E"/>
    <w:rsid w:val="0031498E"/>
    <w:rsid w:val="00315423"/>
    <w:rsid w:val="00316583"/>
    <w:rsid w:val="00316AE5"/>
    <w:rsid w:val="0032023E"/>
    <w:rsid w:val="003204AF"/>
    <w:rsid w:val="003204D5"/>
    <w:rsid w:val="00321102"/>
    <w:rsid w:val="00324218"/>
    <w:rsid w:val="00324F3F"/>
    <w:rsid w:val="003262F1"/>
    <w:rsid w:val="00326DC5"/>
    <w:rsid w:val="00327A77"/>
    <w:rsid w:val="0033075E"/>
    <w:rsid w:val="00330FFD"/>
    <w:rsid w:val="00331209"/>
    <w:rsid w:val="003318B4"/>
    <w:rsid w:val="003361AF"/>
    <w:rsid w:val="003405BE"/>
    <w:rsid w:val="00341363"/>
    <w:rsid w:val="0034143C"/>
    <w:rsid w:val="00342F04"/>
    <w:rsid w:val="003456F3"/>
    <w:rsid w:val="00345F5E"/>
    <w:rsid w:val="003464EB"/>
    <w:rsid w:val="003465CC"/>
    <w:rsid w:val="0034664F"/>
    <w:rsid w:val="003506DB"/>
    <w:rsid w:val="00351BE3"/>
    <w:rsid w:val="00351CB7"/>
    <w:rsid w:val="003538F7"/>
    <w:rsid w:val="00353C97"/>
    <w:rsid w:val="00354329"/>
    <w:rsid w:val="00355B74"/>
    <w:rsid w:val="003566A8"/>
    <w:rsid w:val="003572B5"/>
    <w:rsid w:val="00357319"/>
    <w:rsid w:val="00357A9F"/>
    <w:rsid w:val="00357E42"/>
    <w:rsid w:val="003600FD"/>
    <w:rsid w:val="00360928"/>
    <w:rsid w:val="00360D4A"/>
    <w:rsid w:val="00360DC0"/>
    <w:rsid w:val="0036198E"/>
    <w:rsid w:val="003621FC"/>
    <w:rsid w:val="0036381A"/>
    <w:rsid w:val="00364C42"/>
    <w:rsid w:val="00365E07"/>
    <w:rsid w:val="003676B9"/>
    <w:rsid w:val="003703A4"/>
    <w:rsid w:val="003706D9"/>
    <w:rsid w:val="00370B8B"/>
    <w:rsid w:val="003710F2"/>
    <w:rsid w:val="00371128"/>
    <w:rsid w:val="0037173E"/>
    <w:rsid w:val="003718F5"/>
    <w:rsid w:val="00371C0F"/>
    <w:rsid w:val="003726DF"/>
    <w:rsid w:val="00373084"/>
    <w:rsid w:val="00373431"/>
    <w:rsid w:val="003740A5"/>
    <w:rsid w:val="00374D1D"/>
    <w:rsid w:val="00375297"/>
    <w:rsid w:val="00375F70"/>
    <w:rsid w:val="00381800"/>
    <w:rsid w:val="00381E2C"/>
    <w:rsid w:val="003824B6"/>
    <w:rsid w:val="00383372"/>
    <w:rsid w:val="00383416"/>
    <w:rsid w:val="00383DAA"/>
    <w:rsid w:val="00384A52"/>
    <w:rsid w:val="00384BD8"/>
    <w:rsid w:val="00385016"/>
    <w:rsid w:val="003901DE"/>
    <w:rsid w:val="003903E2"/>
    <w:rsid w:val="00390B6B"/>
    <w:rsid w:val="00392F67"/>
    <w:rsid w:val="00393F42"/>
    <w:rsid w:val="00395757"/>
    <w:rsid w:val="0039617E"/>
    <w:rsid w:val="00396E24"/>
    <w:rsid w:val="00396E67"/>
    <w:rsid w:val="00397D1B"/>
    <w:rsid w:val="003A0489"/>
    <w:rsid w:val="003A17DF"/>
    <w:rsid w:val="003A2E1D"/>
    <w:rsid w:val="003A334E"/>
    <w:rsid w:val="003A3956"/>
    <w:rsid w:val="003A5005"/>
    <w:rsid w:val="003A5B57"/>
    <w:rsid w:val="003A69C0"/>
    <w:rsid w:val="003B06E9"/>
    <w:rsid w:val="003B0AC3"/>
    <w:rsid w:val="003B0C41"/>
    <w:rsid w:val="003B21F8"/>
    <w:rsid w:val="003B2820"/>
    <w:rsid w:val="003B2B12"/>
    <w:rsid w:val="003B2E0C"/>
    <w:rsid w:val="003B353A"/>
    <w:rsid w:val="003B3DC3"/>
    <w:rsid w:val="003B4CA3"/>
    <w:rsid w:val="003B69E9"/>
    <w:rsid w:val="003C041B"/>
    <w:rsid w:val="003C0E9A"/>
    <w:rsid w:val="003C21F6"/>
    <w:rsid w:val="003C36AC"/>
    <w:rsid w:val="003C3FF2"/>
    <w:rsid w:val="003C44A6"/>
    <w:rsid w:val="003C44E4"/>
    <w:rsid w:val="003C5030"/>
    <w:rsid w:val="003C60E7"/>
    <w:rsid w:val="003C6445"/>
    <w:rsid w:val="003C6986"/>
    <w:rsid w:val="003C6BCD"/>
    <w:rsid w:val="003C6CDC"/>
    <w:rsid w:val="003C7F9B"/>
    <w:rsid w:val="003D0A51"/>
    <w:rsid w:val="003D0EFB"/>
    <w:rsid w:val="003D2AAE"/>
    <w:rsid w:val="003D2D30"/>
    <w:rsid w:val="003D4E30"/>
    <w:rsid w:val="003D657D"/>
    <w:rsid w:val="003D673B"/>
    <w:rsid w:val="003D68FF"/>
    <w:rsid w:val="003D73F6"/>
    <w:rsid w:val="003D7D41"/>
    <w:rsid w:val="003E07C1"/>
    <w:rsid w:val="003E0AA0"/>
    <w:rsid w:val="003E3019"/>
    <w:rsid w:val="003E3637"/>
    <w:rsid w:val="003E39A5"/>
    <w:rsid w:val="003E3ED1"/>
    <w:rsid w:val="003E49AF"/>
    <w:rsid w:val="003E4F9D"/>
    <w:rsid w:val="003E5394"/>
    <w:rsid w:val="003E53E5"/>
    <w:rsid w:val="003E7575"/>
    <w:rsid w:val="003F0128"/>
    <w:rsid w:val="003F033B"/>
    <w:rsid w:val="003F037A"/>
    <w:rsid w:val="003F15BA"/>
    <w:rsid w:val="003F3107"/>
    <w:rsid w:val="003F449A"/>
    <w:rsid w:val="003F599C"/>
    <w:rsid w:val="003F5BEC"/>
    <w:rsid w:val="003F5F6A"/>
    <w:rsid w:val="003F6B22"/>
    <w:rsid w:val="003F78B4"/>
    <w:rsid w:val="003F79E7"/>
    <w:rsid w:val="003F7B7A"/>
    <w:rsid w:val="003F7FB2"/>
    <w:rsid w:val="00402D63"/>
    <w:rsid w:val="00403C09"/>
    <w:rsid w:val="00403DE7"/>
    <w:rsid w:val="00406215"/>
    <w:rsid w:val="00407446"/>
    <w:rsid w:val="0041066F"/>
    <w:rsid w:val="00410CA8"/>
    <w:rsid w:val="00411D57"/>
    <w:rsid w:val="0041247D"/>
    <w:rsid w:val="004133F1"/>
    <w:rsid w:val="00415EDC"/>
    <w:rsid w:val="00416CE8"/>
    <w:rsid w:val="00416EBE"/>
    <w:rsid w:val="0041773F"/>
    <w:rsid w:val="00417C81"/>
    <w:rsid w:val="00417E88"/>
    <w:rsid w:val="004215EB"/>
    <w:rsid w:val="00421720"/>
    <w:rsid w:val="00421D65"/>
    <w:rsid w:val="004224FD"/>
    <w:rsid w:val="00422DF9"/>
    <w:rsid w:val="0042303A"/>
    <w:rsid w:val="004239EE"/>
    <w:rsid w:val="00423FB9"/>
    <w:rsid w:val="00424424"/>
    <w:rsid w:val="00424609"/>
    <w:rsid w:val="00425067"/>
    <w:rsid w:val="0042678C"/>
    <w:rsid w:val="0042697D"/>
    <w:rsid w:val="00426981"/>
    <w:rsid w:val="004301D8"/>
    <w:rsid w:val="00432161"/>
    <w:rsid w:val="004323FA"/>
    <w:rsid w:val="004329EC"/>
    <w:rsid w:val="0043436B"/>
    <w:rsid w:val="00435200"/>
    <w:rsid w:val="00435A54"/>
    <w:rsid w:val="004366CB"/>
    <w:rsid w:val="00440099"/>
    <w:rsid w:val="0044126E"/>
    <w:rsid w:val="0044249F"/>
    <w:rsid w:val="0044434E"/>
    <w:rsid w:val="00444AAE"/>
    <w:rsid w:val="00445140"/>
    <w:rsid w:val="00445C32"/>
    <w:rsid w:val="004462D3"/>
    <w:rsid w:val="00446436"/>
    <w:rsid w:val="0044652B"/>
    <w:rsid w:val="00446E46"/>
    <w:rsid w:val="00447018"/>
    <w:rsid w:val="00450300"/>
    <w:rsid w:val="00451B5F"/>
    <w:rsid w:val="00451F75"/>
    <w:rsid w:val="004528E2"/>
    <w:rsid w:val="00454674"/>
    <w:rsid w:val="00454B6C"/>
    <w:rsid w:val="004560BC"/>
    <w:rsid w:val="004560FC"/>
    <w:rsid w:val="004566AE"/>
    <w:rsid w:val="004602DA"/>
    <w:rsid w:val="00460661"/>
    <w:rsid w:val="00460EF2"/>
    <w:rsid w:val="00461106"/>
    <w:rsid w:val="00461963"/>
    <w:rsid w:val="00462FBB"/>
    <w:rsid w:val="00463494"/>
    <w:rsid w:val="004635BA"/>
    <w:rsid w:val="00463FFA"/>
    <w:rsid w:val="00464346"/>
    <w:rsid w:val="00464E62"/>
    <w:rsid w:val="00465DAD"/>
    <w:rsid w:val="004660F7"/>
    <w:rsid w:val="004668F3"/>
    <w:rsid w:val="00466D4E"/>
    <w:rsid w:val="0046746C"/>
    <w:rsid w:val="00467F0F"/>
    <w:rsid w:val="00470AB9"/>
    <w:rsid w:val="00471BD8"/>
    <w:rsid w:val="00471E65"/>
    <w:rsid w:val="00472B8E"/>
    <w:rsid w:val="00473BBF"/>
    <w:rsid w:val="00474C4D"/>
    <w:rsid w:val="00475049"/>
    <w:rsid w:val="00475266"/>
    <w:rsid w:val="004752C5"/>
    <w:rsid w:val="00475BE7"/>
    <w:rsid w:val="0047612C"/>
    <w:rsid w:val="00476E14"/>
    <w:rsid w:val="00477992"/>
    <w:rsid w:val="004806CA"/>
    <w:rsid w:val="00480787"/>
    <w:rsid w:val="00481718"/>
    <w:rsid w:val="0048272C"/>
    <w:rsid w:val="00483FA9"/>
    <w:rsid w:val="00484B91"/>
    <w:rsid w:val="0048513D"/>
    <w:rsid w:val="0048597C"/>
    <w:rsid w:val="00486EBF"/>
    <w:rsid w:val="00487555"/>
    <w:rsid w:val="00487BDD"/>
    <w:rsid w:val="00490410"/>
    <w:rsid w:val="0049068D"/>
    <w:rsid w:val="00490756"/>
    <w:rsid w:val="00490779"/>
    <w:rsid w:val="00491831"/>
    <w:rsid w:val="00492DC1"/>
    <w:rsid w:val="00494A2B"/>
    <w:rsid w:val="00494D05"/>
    <w:rsid w:val="0049670C"/>
    <w:rsid w:val="004977B8"/>
    <w:rsid w:val="004A0DE5"/>
    <w:rsid w:val="004A0FBA"/>
    <w:rsid w:val="004A0FDB"/>
    <w:rsid w:val="004A1079"/>
    <w:rsid w:val="004A20B7"/>
    <w:rsid w:val="004A3C46"/>
    <w:rsid w:val="004A3F22"/>
    <w:rsid w:val="004A4475"/>
    <w:rsid w:val="004A50A9"/>
    <w:rsid w:val="004A6074"/>
    <w:rsid w:val="004A6149"/>
    <w:rsid w:val="004A6E6F"/>
    <w:rsid w:val="004A7062"/>
    <w:rsid w:val="004B0D08"/>
    <w:rsid w:val="004B1D41"/>
    <w:rsid w:val="004B1E8B"/>
    <w:rsid w:val="004B22EA"/>
    <w:rsid w:val="004B2D09"/>
    <w:rsid w:val="004B490B"/>
    <w:rsid w:val="004B4AC5"/>
    <w:rsid w:val="004B5842"/>
    <w:rsid w:val="004B5926"/>
    <w:rsid w:val="004B59BA"/>
    <w:rsid w:val="004B5BAF"/>
    <w:rsid w:val="004B6BA1"/>
    <w:rsid w:val="004B76F5"/>
    <w:rsid w:val="004C0E92"/>
    <w:rsid w:val="004C1625"/>
    <w:rsid w:val="004C29E1"/>
    <w:rsid w:val="004C3ACB"/>
    <w:rsid w:val="004C40F0"/>
    <w:rsid w:val="004C46E2"/>
    <w:rsid w:val="004C506E"/>
    <w:rsid w:val="004C5516"/>
    <w:rsid w:val="004C562B"/>
    <w:rsid w:val="004C5D6E"/>
    <w:rsid w:val="004D09A6"/>
    <w:rsid w:val="004D1156"/>
    <w:rsid w:val="004D1198"/>
    <w:rsid w:val="004D1735"/>
    <w:rsid w:val="004D1923"/>
    <w:rsid w:val="004D1E1E"/>
    <w:rsid w:val="004D24C0"/>
    <w:rsid w:val="004D39A3"/>
    <w:rsid w:val="004D3CEA"/>
    <w:rsid w:val="004D44EA"/>
    <w:rsid w:val="004D5197"/>
    <w:rsid w:val="004D54E9"/>
    <w:rsid w:val="004D556E"/>
    <w:rsid w:val="004D5AED"/>
    <w:rsid w:val="004D690E"/>
    <w:rsid w:val="004D6984"/>
    <w:rsid w:val="004D78DD"/>
    <w:rsid w:val="004E0CF2"/>
    <w:rsid w:val="004E4300"/>
    <w:rsid w:val="004E4465"/>
    <w:rsid w:val="004E4C80"/>
    <w:rsid w:val="004E548E"/>
    <w:rsid w:val="004E58FE"/>
    <w:rsid w:val="004E5F5D"/>
    <w:rsid w:val="004E6261"/>
    <w:rsid w:val="004E627B"/>
    <w:rsid w:val="004E6DC5"/>
    <w:rsid w:val="004E7F31"/>
    <w:rsid w:val="004F2E33"/>
    <w:rsid w:val="004F3986"/>
    <w:rsid w:val="004F4C03"/>
    <w:rsid w:val="004F5065"/>
    <w:rsid w:val="004F6EBC"/>
    <w:rsid w:val="004F7BFC"/>
    <w:rsid w:val="004F7CD3"/>
    <w:rsid w:val="0050181C"/>
    <w:rsid w:val="005019D6"/>
    <w:rsid w:val="00502A79"/>
    <w:rsid w:val="005039CC"/>
    <w:rsid w:val="00503FA3"/>
    <w:rsid w:val="00504BB4"/>
    <w:rsid w:val="00507E6F"/>
    <w:rsid w:val="0051005E"/>
    <w:rsid w:val="0051054E"/>
    <w:rsid w:val="00510A94"/>
    <w:rsid w:val="00510BAE"/>
    <w:rsid w:val="00511D60"/>
    <w:rsid w:val="00512045"/>
    <w:rsid w:val="0051220D"/>
    <w:rsid w:val="00513432"/>
    <w:rsid w:val="0051363D"/>
    <w:rsid w:val="00513B31"/>
    <w:rsid w:val="005148D0"/>
    <w:rsid w:val="00514CF2"/>
    <w:rsid w:val="00515B90"/>
    <w:rsid w:val="005174B3"/>
    <w:rsid w:val="00520019"/>
    <w:rsid w:val="00520439"/>
    <w:rsid w:val="00520F38"/>
    <w:rsid w:val="005212D9"/>
    <w:rsid w:val="00521622"/>
    <w:rsid w:val="00521D34"/>
    <w:rsid w:val="00523B25"/>
    <w:rsid w:val="00523F15"/>
    <w:rsid w:val="00524CAF"/>
    <w:rsid w:val="00525045"/>
    <w:rsid w:val="005263E1"/>
    <w:rsid w:val="005269E1"/>
    <w:rsid w:val="00530AAE"/>
    <w:rsid w:val="00530F89"/>
    <w:rsid w:val="0053175A"/>
    <w:rsid w:val="005322FC"/>
    <w:rsid w:val="005328F4"/>
    <w:rsid w:val="00533C51"/>
    <w:rsid w:val="00535189"/>
    <w:rsid w:val="00535808"/>
    <w:rsid w:val="00535A79"/>
    <w:rsid w:val="00536342"/>
    <w:rsid w:val="00536492"/>
    <w:rsid w:val="00536714"/>
    <w:rsid w:val="00540E16"/>
    <w:rsid w:val="00541B32"/>
    <w:rsid w:val="00542E43"/>
    <w:rsid w:val="005430A4"/>
    <w:rsid w:val="00543A01"/>
    <w:rsid w:val="00543AC0"/>
    <w:rsid w:val="00543C92"/>
    <w:rsid w:val="00546F9D"/>
    <w:rsid w:val="005478ED"/>
    <w:rsid w:val="00550967"/>
    <w:rsid w:val="00551898"/>
    <w:rsid w:val="0055202C"/>
    <w:rsid w:val="00552FA7"/>
    <w:rsid w:val="00553A44"/>
    <w:rsid w:val="00553FE1"/>
    <w:rsid w:val="005548D9"/>
    <w:rsid w:val="00554A88"/>
    <w:rsid w:val="0056119C"/>
    <w:rsid w:val="005625A1"/>
    <w:rsid w:val="0056260E"/>
    <w:rsid w:val="00562FE3"/>
    <w:rsid w:val="005649AD"/>
    <w:rsid w:val="005649CD"/>
    <w:rsid w:val="00565AF0"/>
    <w:rsid w:val="00566284"/>
    <w:rsid w:val="00566D6B"/>
    <w:rsid w:val="00566DEF"/>
    <w:rsid w:val="00566DF3"/>
    <w:rsid w:val="00567573"/>
    <w:rsid w:val="005708D9"/>
    <w:rsid w:val="00570B4C"/>
    <w:rsid w:val="0057178B"/>
    <w:rsid w:val="00572684"/>
    <w:rsid w:val="00572972"/>
    <w:rsid w:val="00575047"/>
    <w:rsid w:val="005756C0"/>
    <w:rsid w:val="00575CC8"/>
    <w:rsid w:val="0057661E"/>
    <w:rsid w:val="0058080D"/>
    <w:rsid w:val="00581938"/>
    <w:rsid w:val="00581A73"/>
    <w:rsid w:val="00582D31"/>
    <w:rsid w:val="00582E51"/>
    <w:rsid w:val="00584290"/>
    <w:rsid w:val="005852F9"/>
    <w:rsid w:val="00585383"/>
    <w:rsid w:val="0058642A"/>
    <w:rsid w:val="00586E0B"/>
    <w:rsid w:val="005902C5"/>
    <w:rsid w:val="0059186F"/>
    <w:rsid w:val="0059188B"/>
    <w:rsid w:val="0059465B"/>
    <w:rsid w:val="00594770"/>
    <w:rsid w:val="005961C3"/>
    <w:rsid w:val="00596513"/>
    <w:rsid w:val="00596A71"/>
    <w:rsid w:val="0059746F"/>
    <w:rsid w:val="005A0E44"/>
    <w:rsid w:val="005A103E"/>
    <w:rsid w:val="005A1A53"/>
    <w:rsid w:val="005A1D1F"/>
    <w:rsid w:val="005A2CCE"/>
    <w:rsid w:val="005A332A"/>
    <w:rsid w:val="005A4161"/>
    <w:rsid w:val="005A4F9E"/>
    <w:rsid w:val="005A50D9"/>
    <w:rsid w:val="005A63F4"/>
    <w:rsid w:val="005A7018"/>
    <w:rsid w:val="005A7907"/>
    <w:rsid w:val="005A7BD2"/>
    <w:rsid w:val="005A7DAA"/>
    <w:rsid w:val="005B00E9"/>
    <w:rsid w:val="005B2A29"/>
    <w:rsid w:val="005B445B"/>
    <w:rsid w:val="005B4578"/>
    <w:rsid w:val="005B5468"/>
    <w:rsid w:val="005B6567"/>
    <w:rsid w:val="005B666A"/>
    <w:rsid w:val="005B68C6"/>
    <w:rsid w:val="005B696A"/>
    <w:rsid w:val="005B72BC"/>
    <w:rsid w:val="005B75E0"/>
    <w:rsid w:val="005B76B8"/>
    <w:rsid w:val="005B79A1"/>
    <w:rsid w:val="005C0665"/>
    <w:rsid w:val="005C07F2"/>
    <w:rsid w:val="005C0DB5"/>
    <w:rsid w:val="005C1A8C"/>
    <w:rsid w:val="005C1D01"/>
    <w:rsid w:val="005C1D61"/>
    <w:rsid w:val="005C3491"/>
    <w:rsid w:val="005C3E58"/>
    <w:rsid w:val="005C4C79"/>
    <w:rsid w:val="005C65C0"/>
    <w:rsid w:val="005C6782"/>
    <w:rsid w:val="005C678C"/>
    <w:rsid w:val="005D263C"/>
    <w:rsid w:val="005D44C9"/>
    <w:rsid w:val="005D5AE7"/>
    <w:rsid w:val="005D5DD6"/>
    <w:rsid w:val="005E0B2E"/>
    <w:rsid w:val="005E1DE9"/>
    <w:rsid w:val="005E211C"/>
    <w:rsid w:val="005E3461"/>
    <w:rsid w:val="005E3751"/>
    <w:rsid w:val="005E37C9"/>
    <w:rsid w:val="005E3A7A"/>
    <w:rsid w:val="005E3C9E"/>
    <w:rsid w:val="005E3FF0"/>
    <w:rsid w:val="005E577D"/>
    <w:rsid w:val="005E5928"/>
    <w:rsid w:val="005E6A42"/>
    <w:rsid w:val="005E7426"/>
    <w:rsid w:val="005F1322"/>
    <w:rsid w:val="005F1E25"/>
    <w:rsid w:val="005F1E8D"/>
    <w:rsid w:val="005F2009"/>
    <w:rsid w:val="005F4854"/>
    <w:rsid w:val="005F489E"/>
    <w:rsid w:val="005F4A89"/>
    <w:rsid w:val="005F57B3"/>
    <w:rsid w:val="005F5F99"/>
    <w:rsid w:val="005F6606"/>
    <w:rsid w:val="005F6D30"/>
    <w:rsid w:val="006004C2"/>
    <w:rsid w:val="00601049"/>
    <w:rsid w:val="00602E03"/>
    <w:rsid w:val="00603EE0"/>
    <w:rsid w:val="00604D40"/>
    <w:rsid w:val="0060688C"/>
    <w:rsid w:val="006074C6"/>
    <w:rsid w:val="006076F0"/>
    <w:rsid w:val="006112F8"/>
    <w:rsid w:val="006131D0"/>
    <w:rsid w:val="00614167"/>
    <w:rsid w:val="006149BF"/>
    <w:rsid w:val="0061567E"/>
    <w:rsid w:val="006172EA"/>
    <w:rsid w:val="00620D9E"/>
    <w:rsid w:val="00622479"/>
    <w:rsid w:val="00622A76"/>
    <w:rsid w:val="006238B1"/>
    <w:rsid w:val="0062445A"/>
    <w:rsid w:val="00624F9E"/>
    <w:rsid w:val="006258C3"/>
    <w:rsid w:val="0062674B"/>
    <w:rsid w:val="00627941"/>
    <w:rsid w:val="00631196"/>
    <w:rsid w:val="0063312D"/>
    <w:rsid w:val="006348F0"/>
    <w:rsid w:val="00634B51"/>
    <w:rsid w:val="006403A4"/>
    <w:rsid w:val="00640B6F"/>
    <w:rsid w:val="00640FA6"/>
    <w:rsid w:val="006412D9"/>
    <w:rsid w:val="00641469"/>
    <w:rsid w:val="006414E0"/>
    <w:rsid w:val="006422E1"/>
    <w:rsid w:val="006423AF"/>
    <w:rsid w:val="00642959"/>
    <w:rsid w:val="0064371A"/>
    <w:rsid w:val="0064387A"/>
    <w:rsid w:val="00645BDA"/>
    <w:rsid w:val="00645E5E"/>
    <w:rsid w:val="00646F7D"/>
    <w:rsid w:val="00647500"/>
    <w:rsid w:val="00647591"/>
    <w:rsid w:val="00647D0D"/>
    <w:rsid w:val="0065265A"/>
    <w:rsid w:val="00652949"/>
    <w:rsid w:val="00653287"/>
    <w:rsid w:val="00653CC7"/>
    <w:rsid w:val="00654531"/>
    <w:rsid w:val="00654EE0"/>
    <w:rsid w:val="006555CC"/>
    <w:rsid w:val="006558A8"/>
    <w:rsid w:val="006558F6"/>
    <w:rsid w:val="00655CE6"/>
    <w:rsid w:val="00656ACF"/>
    <w:rsid w:val="00657038"/>
    <w:rsid w:val="00657194"/>
    <w:rsid w:val="00657A59"/>
    <w:rsid w:val="00657A74"/>
    <w:rsid w:val="006612BD"/>
    <w:rsid w:val="00662939"/>
    <w:rsid w:val="00662FC6"/>
    <w:rsid w:val="0066300C"/>
    <w:rsid w:val="00665E25"/>
    <w:rsid w:val="00665E65"/>
    <w:rsid w:val="006667D6"/>
    <w:rsid w:val="00671768"/>
    <w:rsid w:val="006717F4"/>
    <w:rsid w:val="0067185A"/>
    <w:rsid w:val="00671AEE"/>
    <w:rsid w:val="00672568"/>
    <w:rsid w:val="00672B5A"/>
    <w:rsid w:val="00674234"/>
    <w:rsid w:val="00674647"/>
    <w:rsid w:val="006769BA"/>
    <w:rsid w:val="006778BA"/>
    <w:rsid w:val="00680089"/>
    <w:rsid w:val="00680483"/>
    <w:rsid w:val="006814AA"/>
    <w:rsid w:val="00681CA6"/>
    <w:rsid w:val="00682F5D"/>
    <w:rsid w:val="00683A46"/>
    <w:rsid w:val="00683D21"/>
    <w:rsid w:val="00684355"/>
    <w:rsid w:val="006850C9"/>
    <w:rsid w:val="0068516C"/>
    <w:rsid w:val="006869C8"/>
    <w:rsid w:val="00686AD2"/>
    <w:rsid w:val="006907D5"/>
    <w:rsid w:val="00691452"/>
    <w:rsid w:val="006918F8"/>
    <w:rsid w:val="00691E42"/>
    <w:rsid w:val="00692F52"/>
    <w:rsid w:val="00692F7E"/>
    <w:rsid w:val="006931B8"/>
    <w:rsid w:val="00694C8E"/>
    <w:rsid w:val="00697C35"/>
    <w:rsid w:val="006A000C"/>
    <w:rsid w:val="006A00AE"/>
    <w:rsid w:val="006A0939"/>
    <w:rsid w:val="006A09A1"/>
    <w:rsid w:val="006A10AA"/>
    <w:rsid w:val="006A125E"/>
    <w:rsid w:val="006A13F6"/>
    <w:rsid w:val="006A1E69"/>
    <w:rsid w:val="006A1FF6"/>
    <w:rsid w:val="006A2140"/>
    <w:rsid w:val="006A45E0"/>
    <w:rsid w:val="006A533E"/>
    <w:rsid w:val="006A53EC"/>
    <w:rsid w:val="006A5556"/>
    <w:rsid w:val="006A6045"/>
    <w:rsid w:val="006A637B"/>
    <w:rsid w:val="006A6D99"/>
    <w:rsid w:val="006A766C"/>
    <w:rsid w:val="006A7D78"/>
    <w:rsid w:val="006B0599"/>
    <w:rsid w:val="006B0E53"/>
    <w:rsid w:val="006B13F5"/>
    <w:rsid w:val="006B17CD"/>
    <w:rsid w:val="006B6876"/>
    <w:rsid w:val="006B71CD"/>
    <w:rsid w:val="006B7CBD"/>
    <w:rsid w:val="006B7D1F"/>
    <w:rsid w:val="006C2D38"/>
    <w:rsid w:val="006C2ED6"/>
    <w:rsid w:val="006C3742"/>
    <w:rsid w:val="006C3A39"/>
    <w:rsid w:val="006C44C7"/>
    <w:rsid w:val="006C6C26"/>
    <w:rsid w:val="006C79F6"/>
    <w:rsid w:val="006D0ED8"/>
    <w:rsid w:val="006D1417"/>
    <w:rsid w:val="006D4F1B"/>
    <w:rsid w:val="006D58C6"/>
    <w:rsid w:val="006D5FB5"/>
    <w:rsid w:val="006D7F87"/>
    <w:rsid w:val="006D7F8C"/>
    <w:rsid w:val="006E15B7"/>
    <w:rsid w:val="006E1AA7"/>
    <w:rsid w:val="006E1B53"/>
    <w:rsid w:val="006E4AFD"/>
    <w:rsid w:val="006E5BF2"/>
    <w:rsid w:val="006E6390"/>
    <w:rsid w:val="006E6867"/>
    <w:rsid w:val="006E7C44"/>
    <w:rsid w:val="006F076E"/>
    <w:rsid w:val="006F0E38"/>
    <w:rsid w:val="006F0E4B"/>
    <w:rsid w:val="006F23A9"/>
    <w:rsid w:val="006F3498"/>
    <w:rsid w:val="006F579E"/>
    <w:rsid w:val="006F70F5"/>
    <w:rsid w:val="006F72CF"/>
    <w:rsid w:val="006F7468"/>
    <w:rsid w:val="006F768E"/>
    <w:rsid w:val="006F7771"/>
    <w:rsid w:val="00701197"/>
    <w:rsid w:val="00702777"/>
    <w:rsid w:val="00702D9B"/>
    <w:rsid w:val="00703180"/>
    <w:rsid w:val="00703746"/>
    <w:rsid w:val="00707DE4"/>
    <w:rsid w:val="00710C13"/>
    <w:rsid w:val="00712DA8"/>
    <w:rsid w:val="007134F4"/>
    <w:rsid w:val="007139ED"/>
    <w:rsid w:val="00713A9F"/>
    <w:rsid w:val="00713E81"/>
    <w:rsid w:val="00715049"/>
    <w:rsid w:val="007155D9"/>
    <w:rsid w:val="00715708"/>
    <w:rsid w:val="00715792"/>
    <w:rsid w:val="00716000"/>
    <w:rsid w:val="0072071C"/>
    <w:rsid w:val="00721498"/>
    <w:rsid w:val="00722032"/>
    <w:rsid w:val="00722402"/>
    <w:rsid w:val="00723462"/>
    <w:rsid w:val="00723AAE"/>
    <w:rsid w:val="0072449B"/>
    <w:rsid w:val="00724F16"/>
    <w:rsid w:val="00726BAD"/>
    <w:rsid w:val="007273C4"/>
    <w:rsid w:val="0073089C"/>
    <w:rsid w:val="007318EA"/>
    <w:rsid w:val="00732305"/>
    <w:rsid w:val="00733286"/>
    <w:rsid w:val="00733D3C"/>
    <w:rsid w:val="007342DC"/>
    <w:rsid w:val="00734D29"/>
    <w:rsid w:val="00735E23"/>
    <w:rsid w:val="00735F6E"/>
    <w:rsid w:val="00736089"/>
    <w:rsid w:val="00737BEA"/>
    <w:rsid w:val="00737C74"/>
    <w:rsid w:val="00737E49"/>
    <w:rsid w:val="00740736"/>
    <w:rsid w:val="0074126E"/>
    <w:rsid w:val="00741A81"/>
    <w:rsid w:val="00741EE1"/>
    <w:rsid w:val="007425B1"/>
    <w:rsid w:val="00742651"/>
    <w:rsid w:val="00743159"/>
    <w:rsid w:val="007438B2"/>
    <w:rsid w:val="00743EEE"/>
    <w:rsid w:val="00744A4A"/>
    <w:rsid w:val="00744D43"/>
    <w:rsid w:val="00745534"/>
    <w:rsid w:val="00746B60"/>
    <w:rsid w:val="00747666"/>
    <w:rsid w:val="00750163"/>
    <w:rsid w:val="00751AD8"/>
    <w:rsid w:val="00751FDD"/>
    <w:rsid w:val="00753A1D"/>
    <w:rsid w:val="00754EFA"/>
    <w:rsid w:val="00757A81"/>
    <w:rsid w:val="00761A64"/>
    <w:rsid w:val="00762284"/>
    <w:rsid w:val="0076252B"/>
    <w:rsid w:val="007630E7"/>
    <w:rsid w:val="0076384C"/>
    <w:rsid w:val="007646B3"/>
    <w:rsid w:val="00765AEC"/>
    <w:rsid w:val="007666C0"/>
    <w:rsid w:val="00766AFD"/>
    <w:rsid w:val="0076730D"/>
    <w:rsid w:val="00767394"/>
    <w:rsid w:val="00767F5C"/>
    <w:rsid w:val="00771766"/>
    <w:rsid w:val="00773D8E"/>
    <w:rsid w:val="00773F7A"/>
    <w:rsid w:val="007741CD"/>
    <w:rsid w:val="00776E09"/>
    <w:rsid w:val="0078039F"/>
    <w:rsid w:val="007807AF"/>
    <w:rsid w:val="00780B8F"/>
    <w:rsid w:val="007818A4"/>
    <w:rsid w:val="0078272F"/>
    <w:rsid w:val="007828EF"/>
    <w:rsid w:val="0078316F"/>
    <w:rsid w:val="00783CEE"/>
    <w:rsid w:val="00784E21"/>
    <w:rsid w:val="007851D4"/>
    <w:rsid w:val="00785804"/>
    <w:rsid w:val="00786962"/>
    <w:rsid w:val="0078708F"/>
    <w:rsid w:val="00787B36"/>
    <w:rsid w:val="00790BAA"/>
    <w:rsid w:val="0079244F"/>
    <w:rsid w:val="007924DB"/>
    <w:rsid w:val="00792962"/>
    <w:rsid w:val="00793BFF"/>
    <w:rsid w:val="007942B2"/>
    <w:rsid w:val="007944D1"/>
    <w:rsid w:val="007964E1"/>
    <w:rsid w:val="00796B73"/>
    <w:rsid w:val="00796F4B"/>
    <w:rsid w:val="00797769"/>
    <w:rsid w:val="007977FA"/>
    <w:rsid w:val="00797B7D"/>
    <w:rsid w:val="007A01EC"/>
    <w:rsid w:val="007A0815"/>
    <w:rsid w:val="007A1240"/>
    <w:rsid w:val="007A2137"/>
    <w:rsid w:val="007A3145"/>
    <w:rsid w:val="007A427A"/>
    <w:rsid w:val="007A4618"/>
    <w:rsid w:val="007A5D9A"/>
    <w:rsid w:val="007A6535"/>
    <w:rsid w:val="007A6C43"/>
    <w:rsid w:val="007B06B0"/>
    <w:rsid w:val="007B0995"/>
    <w:rsid w:val="007B1AA0"/>
    <w:rsid w:val="007B3551"/>
    <w:rsid w:val="007B35CF"/>
    <w:rsid w:val="007B4B24"/>
    <w:rsid w:val="007B6B04"/>
    <w:rsid w:val="007B7D64"/>
    <w:rsid w:val="007B7F1C"/>
    <w:rsid w:val="007C02DE"/>
    <w:rsid w:val="007C11EE"/>
    <w:rsid w:val="007C26B8"/>
    <w:rsid w:val="007C49AB"/>
    <w:rsid w:val="007C4DD8"/>
    <w:rsid w:val="007C5C9A"/>
    <w:rsid w:val="007C6CFB"/>
    <w:rsid w:val="007C6E1F"/>
    <w:rsid w:val="007C78CA"/>
    <w:rsid w:val="007C7B64"/>
    <w:rsid w:val="007C7F07"/>
    <w:rsid w:val="007D1A40"/>
    <w:rsid w:val="007D306C"/>
    <w:rsid w:val="007D33E3"/>
    <w:rsid w:val="007D3C13"/>
    <w:rsid w:val="007D52AC"/>
    <w:rsid w:val="007D531A"/>
    <w:rsid w:val="007D579F"/>
    <w:rsid w:val="007D5F7E"/>
    <w:rsid w:val="007D6D64"/>
    <w:rsid w:val="007E0101"/>
    <w:rsid w:val="007E0B46"/>
    <w:rsid w:val="007E1A15"/>
    <w:rsid w:val="007E327D"/>
    <w:rsid w:val="007E32CC"/>
    <w:rsid w:val="007E3F57"/>
    <w:rsid w:val="007E5A83"/>
    <w:rsid w:val="007E5B0A"/>
    <w:rsid w:val="007E627D"/>
    <w:rsid w:val="007E78B1"/>
    <w:rsid w:val="007E7EED"/>
    <w:rsid w:val="007E7F83"/>
    <w:rsid w:val="007F1892"/>
    <w:rsid w:val="007F1F59"/>
    <w:rsid w:val="007F271C"/>
    <w:rsid w:val="007F322E"/>
    <w:rsid w:val="007F36DF"/>
    <w:rsid w:val="007F3B87"/>
    <w:rsid w:val="007F400B"/>
    <w:rsid w:val="007F428D"/>
    <w:rsid w:val="007F50E2"/>
    <w:rsid w:val="007F5131"/>
    <w:rsid w:val="007F6652"/>
    <w:rsid w:val="00800C08"/>
    <w:rsid w:val="00800C92"/>
    <w:rsid w:val="00801849"/>
    <w:rsid w:val="00801D23"/>
    <w:rsid w:val="00802112"/>
    <w:rsid w:val="008021CA"/>
    <w:rsid w:val="00803278"/>
    <w:rsid w:val="00803858"/>
    <w:rsid w:val="00803E50"/>
    <w:rsid w:val="00804582"/>
    <w:rsid w:val="00805568"/>
    <w:rsid w:val="00805940"/>
    <w:rsid w:val="00806089"/>
    <w:rsid w:val="00806822"/>
    <w:rsid w:val="008075BA"/>
    <w:rsid w:val="0081317D"/>
    <w:rsid w:val="0081362A"/>
    <w:rsid w:val="00815835"/>
    <w:rsid w:val="008173EC"/>
    <w:rsid w:val="008177E8"/>
    <w:rsid w:val="0082145E"/>
    <w:rsid w:val="008226D7"/>
    <w:rsid w:val="00822FB4"/>
    <w:rsid w:val="00823185"/>
    <w:rsid w:val="0082386F"/>
    <w:rsid w:val="00823C64"/>
    <w:rsid w:val="00823D24"/>
    <w:rsid w:val="008247EF"/>
    <w:rsid w:val="00824A0C"/>
    <w:rsid w:val="0082655B"/>
    <w:rsid w:val="00826DF4"/>
    <w:rsid w:val="00831A64"/>
    <w:rsid w:val="00831BB4"/>
    <w:rsid w:val="00831CA8"/>
    <w:rsid w:val="00832DA9"/>
    <w:rsid w:val="0083345E"/>
    <w:rsid w:val="00834A42"/>
    <w:rsid w:val="008350CC"/>
    <w:rsid w:val="00836039"/>
    <w:rsid w:val="008366C2"/>
    <w:rsid w:val="008426C8"/>
    <w:rsid w:val="0084404D"/>
    <w:rsid w:val="00844B11"/>
    <w:rsid w:val="00845C6F"/>
    <w:rsid w:val="00846665"/>
    <w:rsid w:val="00846DD6"/>
    <w:rsid w:val="00847C0C"/>
    <w:rsid w:val="008515E6"/>
    <w:rsid w:val="0085232D"/>
    <w:rsid w:val="0085326C"/>
    <w:rsid w:val="00853444"/>
    <w:rsid w:val="00853C70"/>
    <w:rsid w:val="008554EA"/>
    <w:rsid w:val="00855994"/>
    <w:rsid w:val="00856124"/>
    <w:rsid w:val="00857208"/>
    <w:rsid w:val="008604C0"/>
    <w:rsid w:val="0086291D"/>
    <w:rsid w:val="00862CC4"/>
    <w:rsid w:val="00863334"/>
    <w:rsid w:val="00864DDF"/>
    <w:rsid w:val="00865083"/>
    <w:rsid w:val="00866E4C"/>
    <w:rsid w:val="008678C1"/>
    <w:rsid w:val="008701A1"/>
    <w:rsid w:val="008702DD"/>
    <w:rsid w:val="0087079D"/>
    <w:rsid w:val="00870C22"/>
    <w:rsid w:val="00871452"/>
    <w:rsid w:val="00871474"/>
    <w:rsid w:val="00871BEC"/>
    <w:rsid w:val="00872078"/>
    <w:rsid w:val="00872591"/>
    <w:rsid w:val="008732F3"/>
    <w:rsid w:val="008735A7"/>
    <w:rsid w:val="00873634"/>
    <w:rsid w:val="00874FCE"/>
    <w:rsid w:val="008750C2"/>
    <w:rsid w:val="00875261"/>
    <w:rsid w:val="0087596F"/>
    <w:rsid w:val="00875E12"/>
    <w:rsid w:val="00876E9D"/>
    <w:rsid w:val="008770DA"/>
    <w:rsid w:val="00881CFD"/>
    <w:rsid w:val="00881D3D"/>
    <w:rsid w:val="00882FE8"/>
    <w:rsid w:val="00883607"/>
    <w:rsid w:val="00883970"/>
    <w:rsid w:val="00883F90"/>
    <w:rsid w:val="00884E72"/>
    <w:rsid w:val="0088612C"/>
    <w:rsid w:val="00886343"/>
    <w:rsid w:val="00886A35"/>
    <w:rsid w:val="00886DAA"/>
    <w:rsid w:val="00886E87"/>
    <w:rsid w:val="008873CE"/>
    <w:rsid w:val="00887E4E"/>
    <w:rsid w:val="00890650"/>
    <w:rsid w:val="00891D9E"/>
    <w:rsid w:val="00891DBA"/>
    <w:rsid w:val="00892770"/>
    <w:rsid w:val="00893D7B"/>
    <w:rsid w:val="008944F0"/>
    <w:rsid w:val="008A0564"/>
    <w:rsid w:val="008A06AD"/>
    <w:rsid w:val="008A0AE4"/>
    <w:rsid w:val="008A1FD5"/>
    <w:rsid w:val="008A2525"/>
    <w:rsid w:val="008A274E"/>
    <w:rsid w:val="008A2CA9"/>
    <w:rsid w:val="008A4DA0"/>
    <w:rsid w:val="008A51B9"/>
    <w:rsid w:val="008A5FAC"/>
    <w:rsid w:val="008A614B"/>
    <w:rsid w:val="008A6857"/>
    <w:rsid w:val="008A73E4"/>
    <w:rsid w:val="008A773B"/>
    <w:rsid w:val="008B2450"/>
    <w:rsid w:val="008B2828"/>
    <w:rsid w:val="008B29F0"/>
    <w:rsid w:val="008B34A7"/>
    <w:rsid w:val="008B3B07"/>
    <w:rsid w:val="008B46BE"/>
    <w:rsid w:val="008B480B"/>
    <w:rsid w:val="008B57A3"/>
    <w:rsid w:val="008B5A85"/>
    <w:rsid w:val="008B6716"/>
    <w:rsid w:val="008B71B2"/>
    <w:rsid w:val="008B781F"/>
    <w:rsid w:val="008C16AB"/>
    <w:rsid w:val="008C1F79"/>
    <w:rsid w:val="008C1F9F"/>
    <w:rsid w:val="008C2A23"/>
    <w:rsid w:val="008C2A33"/>
    <w:rsid w:val="008C39B7"/>
    <w:rsid w:val="008C3C0F"/>
    <w:rsid w:val="008C3CF4"/>
    <w:rsid w:val="008C536D"/>
    <w:rsid w:val="008C7082"/>
    <w:rsid w:val="008C7E85"/>
    <w:rsid w:val="008D04EC"/>
    <w:rsid w:val="008D187F"/>
    <w:rsid w:val="008D1B55"/>
    <w:rsid w:val="008D372B"/>
    <w:rsid w:val="008D3E88"/>
    <w:rsid w:val="008D66B7"/>
    <w:rsid w:val="008D7568"/>
    <w:rsid w:val="008D7E24"/>
    <w:rsid w:val="008E00A8"/>
    <w:rsid w:val="008E03FB"/>
    <w:rsid w:val="008E122F"/>
    <w:rsid w:val="008E4136"/>
    <w:rsid w:val="008E41B4"/>
    <w:rsid w:val="008E55EF"/>
    <w:rsid w:val="008E7077"/>
    <w:rsid w:val="008F04BE"/>
    <w:rsid w:val="008F07BF"/>
    <w:rsid w:val="008F0AE9"/>
    <w:rsid w:val="008F0F60"/>
    <w:rsid w:val="008F20DC"/>
    <w:rsid w:val="008F3BE7"/>
    <w:rsid w:val="008F3EFC"/>
    <w:rsid w:val="008F4F96"/>
    <w:rsid w:val="008F5CCB"/>
    <w:rsid w:val="008F64BA"/>
    <w:rsid w:val="008F6E6F"/>
    <w:rsid w:val="008F6E79"/>
    <w:rsid w:val="008F7C25"/>
    <w:rsid w:val="00900730"/>
    <w:rsid w:val="00900C79"/>
    <w:rsid w:val="00901D15"/>
    <w:rsid w:val="0090773C"/>
    <w:rsid w:val="00911177"/>
    <w:rsid w:val="009118D7"/>
    <w:rsid w:val="00913399"/>
    <w:rsid w:val="00913C73"/>
    <w:rsid w:val="00913DDF"/>
    <w:rsid w:val="00914A17"/>
    <w:rsid w:val="0091605F"/>
    <w:rsid w:val="00916B91"/>
    <w:rsid w:val="00916D27"/>
    <w:rsid w:val="00921AF2"/>
    <w:rsid w:val="00923CF0"/>
    <w:rsid w:val="00925989"/>
    <w:rsid w:val="00926071"/>
    <w:rsid w:val="00926B29"/>
    <w:rsid w:val="00926FBB"/>
    <w:rsid w:val="009273E6"/>
    <w:rsid w:val="009274EB"/>
    <w:rsid w:val="009278AC"/>
    <w:rsid w:val="00927EA3"/>
    <w:rsid w:val="00927FCC"/>
    <w:rsid w:val="00930409"/>
    <w:rsid w:val="00930575"/>
    <w:rsid w:val="00931220"/>
    <w:rsid w:val="009314B0"/>
    <w:rsid w:val="00931C0C"/>
    <w:rsid w:val="009320DA"/>
    <w:rsid w:val="00932387"/>
    <w:rsid w:val="00932829"/>
    <w:rsid w:val="00932D4D"/>
    <w:rsid w:val="009338D3"/>
    <w:rsid w:val="00933D10"/>
    <w:rsid w:val="00936548"/>
    <w:rsid w:val="00936630"/>
    <w:rsid w:val="00937D2E"/>
    <w:rsid w:val="00940CBB"/>
    <w:rsid w:val="00944397"/>
    <w:rsid w:val="009443F1"/>
    <w:rsid w:val="0094444D"/>
    <w:rsid w:val="0094445F"/>
    <w:rsid w:val="009463C0"/>
    <w:rsid w:val="00947CD6"/>
    <w:rsid w:val="00950CAD"/>
    <w:rsid w:val="00950D9E"/>
    <w:rsid w:val="0095240B"/>
    <w:rsid w:val="00952FAA"/>
    <w:rsid w:val="009531D0"/>
    <w:rsid w:val="009556AA"/>
    <w:rsid w:val="009561A4"/>
    <w:rsid w:val="00956514"/>
    <w:rsid w:val="00957051"/>
    <w:rsid w:val="009578D6"/>
    <w:rsid w:val="00960402"/>
    <w:rsid w:val="009605BF"/>
    <w:rsid w:val="00960DE5"/>
    <w:rsid w:val="00961EAB"/>
    <w:rsid w:val="00961F74"/>
    <w:rsid w:val="009629B8"/>
    <w:rsid w:val="00962A8F"/>
    <w:rsid w:val="00963B3D"/>
    <w:rsid w:val="00963C00"/>
    <w:rsid w:val="00964FA7"/>
    <w:rsid w:val="00965EC1"/>
    <w:rsid w:val="00966F48"/>
    <w:rsid w:val="009677BD"/>
    <w:rsid w:val="00970973"/>
    <w:rsid w:val="00972432"/>
    <w:rsid w:val="009732A3"/>
    <w:rsid w:val="0097332F"/>
    <w:rsid w:val="00973A9D"/>
    <w:rsid w:val="009754FF"/>
    <w:rsid w:val="009760E3"/>
    <w:rsid w:val="00976189"/>
    <w:rsid w:val="009761CE"/>
    <w:rsid w:val="00976615"/>
    <w:rsid w:val="00977CE0"/>
    <w:rsid w:val="00981A55"/>
    <w:rsid w:val="00982A0D"/>
    <w:rsid w:val="00982EE2"/>
    <w:rsid w:val="00983580"/>
    <w:rsid w:val="00983AA9"/>
    <w:rsid w:val="00983ED4"/>
    <w:rsid w:val="00984214"/>
    <w:rsid w:val="00984477"/>
    <w:rsid w:val="00984AA2"/>
    <w:rsid w:val="009851A8"/>
    <w:rsid w:val="00986865"/>
    <w:rsid w:val="00990AD0"/>
    <w:rsid w:val="00991793"/>
    <w:rsid w:val="00991799"/>
    <w:rsid w:val="009932EB"/>
    <w:rsid w:val="00993820"/>
    <w:rsid w:val="00993E78"/>
    <w:rsid w:val="00994F73"/>
    <w:rsid w:val="00995552"/>
    <w:rsid w:val="009955F0"/>
    <w:rsid w:val="00995639"/>
    <w:rsid w:val="009A07EC"/>
    <w:rsid w:val="009A12DE"/>
    <w:rsid w:val="009A2103"/>
    <w:rsid w:val="009A2B1D"/>
    <w:rsid w:val="009A33FB"/>
    <w:rsid w:val="009A3F9E"/>
    <w:rsid w:val="009A4004"/>
    <w:rsid w:val="009A40F3"/>
    <w:rsid w:val="009A4A0E"/>
    <w:rsid w:val="009A5347"/>
    <w:rsid w:val="009A56A3"/>
    <w:rsid w:val="009A5A5E"/>
    <w:rsid w:val="009B0A81"/>
    <w:rsid w:val="009B43CE"/>
    <w:rsid w:val="009B4721"/>
    <w:rsid w:val="009B624C"/>
    <w:rsid w:val="009B670E"/>
    <w:rsid w:val="009B74E9"/>
    <w:rsid w:val="009C04E2"/>
    <w:rsid w:val="009C0A33"/>
    <w:rsid w:val="009C0DE9"/>
    <w:rsid w:val="009C15B3"/>
    <w:rsid w:val="009C1C21"/>
    <w:rsid w:val="009C2AA5"/>
    <w:rsid w:val="009C2DB9"/>
    <w:rsid w:val="009C36D3"/>
    <w:rsid w:val="009C3A2C"/>
    <w:rsid w:val="009C4D19"/>
    <w:rsid w:val="009C4FAC"/>
    <w:rsid w:val="009C5339"/>
    <w:rsid w:val="009C6691"/>
    <w:rsid w:val="009C6ECB"/>
    <w:rsid w:val="009C787A"/>
    <w:rsid w:val="009D1A05"/>
    <w:rsid w:val="009D288D"/>
    <w:rsid w:val="009D3962"/>
    <w:rsid w:val="009D49BB"/>
    <w:rsid w:val="009D4A7B"/>
    <w:rsid w:val="009E0534"/>
    <w:rsid w:val="009E08A4"/>
    <w:rsid w:val="009E0CFF"/>
    <w:rsid w:val="009E29DC"/>
    <w:rsid w:val="009E2DC5"/>
    <w:rsid w:val="009E454A"/>
    <w:rsid w:val="009E5F69"/>
    <w:rsid w:val="009E5FCA"/>
    <w:rsid w:val="009E62F5"/>
    <w:rsid w:val="009E6754"/>
    <w:rsid w:val="009E6BCF"/>
    <w:rsid w:val="009F048D"/>
    <w:rsid w:val="009F173F"/>
    <w:rsid w:val="009F2981"/>
    <w:rsid w:val="009F3299"/>
    <w:rsid w:val="009F377D"/>
    <w:rsid w:val="009F3BE1"/>
    <w:rsid w:val="009F427A"/>
    <w:rsid w:val="009F4664"/>
    <w:rsid w:val="009F54DA"/>
    <w:rsid w:val="009F5B12"/>
    <w:rsid w:val="009F681B"/>
    <w:rsid w:val="009F6A92"/>
    <w:rsid w:val="009F6DE5"/>
    <w:rsid w:val="009F7417"/>
    <w:rsid w:val="00A00A72"/>
    <w:rsid w:val="00A022F8"/>
    <w:rsid w:val="00A029A3"/>
    <w:rsid w:val="00A0456A"/>
    <w:rsid w:val="00A04624"/>
    <w:rsid w:val="00A048FA"/>
    <w:rsid w:val="00A0628A"/>
    <w:rsid w:val="00A06F8A"/>
    <w:rsid w:val="00A109B9"/>
    <w:rsid w:val="00A10F90"/>
    <w:rsid w:val="00A117A6"/>
    <w:rsid w:val="00A12789"/>
    <w:rsid w:val="00A135D7"/>
    <w:rsid w:val="00A14330"/>
    <w:rsid w:val="00A14D46"/>
    <w:rsid w:val="00A153D3"/>
    <w:rsid w:val="00A16830"/>
    <w:rsid w:val="00A16D5A"/>
    <w:rsid w:val="00A17F47"/>
    <w:rsid w:val="00A208DD"/>
    <w:rsid w:val="00A20D88"/>
    <w:rsid w:val="00A21114"/>
    <w:rsid w:val="00A23077"/>
    <w:rsid w:val="00A230AE"/>
    <w:rsid w:val="00A24F84"/>
    <w:rsid w:val="00A257F4"/>
    <w:rsid w:val="00A25B10"/>
    <w:rsid w:val="00A27A1D"/>
    <w:rsid w:val="00A311F5"/>
    <w:rsid w:val="00A31342"/>
    <w:rsid w:val="00A324F5"/>
    <w:rsid w:val="00A32B54"/>
    <w:rsid w:val="00A32C34"/>
    <w:rsid w:val="00A35034"/>
    <w:rsid w:val="00A372CB"/>
    <w:rsid w:val="00A37A92"/>
    <w:rsid w:val="00A40464"/>
    <w:rsid w:val="00A415B6"/>
    <w:rsid w:val="00A41E8D"/>
    <w:rsid w:val="00A44933"/>
    <w:rsid w:val="00A44956"/>
    <w:rsid w:val="00A463F3"/>
    <w:rsid w:val="00A46CDF"/>
    <w:rsid w:val="00A47165"/>
    <w:rsid w:val="00A47B64"/>
    <w:rsid w:val="00A5053E"/>
    <w:rsid w:val="00A5087B"/>
    <w:rsid w:val="00A51578"/>
    <w:rsid w:val="00A51716"/>
    <w:rsid w:val="00A51E1D"/>
    <w:rsid w:val="00A53F7B"/>
    <w:rsid w:val="00A5459A"/>
    <w:rsid w:val="00A54A51"/>
    <w:rsid w:val="00A5565A"/>
    <w:rsid w:val="00A56631"/>
    <w:rsid w:val="00A568F7"/>
    <w:rsid w:val="00A56907"/>
    <w:rsid w:val="00A57662"/>
    <w:rsid w:val="00A57C62"/>
    <w:rsid w:val="00A604F9"/>
    <w:rsid w:val="00A6061B"/>
    <w:rsid w:val="00A6069B"/>
    <w:rsid w:val="00A6180E"/>
    <w:rsid w:val="00A61FFE"/>
    <w:rsid w:val="00A621CE"/>
    <w:rsid w:val="00A62642"/>
    <w:rsid w:val="00A62A39"/>
    <w:rsid w:val="00A62BD7"/>
    <w:rsid w:val="00A6350B"/>
    <w:rsid w:val="00A65BA7"/>
    <w:rsid w:val="00A66875"/>
    <w:rsid w:val="00A669F0"/>
    <w:rsid w:val="00A67AAA"/>
    <w:rsid w:val="00A67F3F"/>
    <w:rsid w:val="00A70D96"/>
    <w:rsid w:val="00A72D79"/>
    <w:rsid w:val="00A73269"/>
    <w:rsid w:val="00A747D8"/>
    <w:rsid w:val="00A74CB5"/>
    <w:rsid w:val="00A7548B"/>
    <w:rsid w:val="00A76667"/>
    <w:rsid w:val="00A77D19"/>
    <w:rsid w:val="00A8007D"/>
    <w:rsid w:val="00A8152F"/>
    <w:rsid w:val="00A82190"/>
    <w:rsid w:val="00A83C30"/>
    <w:rsid w:val="00A840D8"/>
    <w:rsid w:val="00A845DC"/>
    <w:rsid w:val="00A847AC"/>
    <w:rsid w:val="00A85017"/>
    <w:rsid w:val="00A85036"/>
    <w:rsid w:val="00A85597"/>
    <w:rsid w:val="00A85B7E"/>
    <w:rsid w:val="00A8718D"/>
    <w:rsid w:val="00A87A78"/>
    <w:rsid w:val="00A87DCF"/>
    <w:rsid w:val="00A90FCD"/>
    <w:rsid w:val="00A91323"/>
    <w:rsid w:val="00A913B6"/>
    <w:rsid w:val="00A92B71"/>
    <w:rsid w:val="00A93361"/>
    <w:rsid w:val="00A9361C"/>
    <w:rsid w:val="00A9377E"/>
    <w:rsid w:val="00A93C16"/>
    <w:rsid w:val="00A9536D"/>
    <w:rsid w:val="00A958FA"/>
    <w:rsid w:val="00A96450"/>
    <w:rsid w:val="00A9701A"/>
    <w:rsid w:val="00A97F3B"/>
    <w:rsid w:val="00AA0ADE"/>
    <w:rsid w:val="00AA118C"/>
    <w:rsid w:val="00AA230E"/>
    <w:rsid w:val="00AA30AA"/>
    <w:rsid w:val="00AA3A09"/>
    <w:rsid w:val="00AA3BF1"/>
    <w:rsid w:val="00AA43FE"/>
    <w:rsid w:val="00AA4A64"/>
    <w:rsid w:val="00AA52F3"/>
    <w:rsid w:val="00AA66A7"/>
    <w:rsid w:val="00AA75B2"/>
    <w:rsid w:val="00AA77F0"/>
    <w:rsid w:val="00AB1696"/>
    <w:rsid w:val="00AB28AF"/>
    <w:rsid w:val="00AB5066"/>
    <w:rsid w:val="00AB68A1"/>
    <w:rsid w:val="00AB6CC6"/>
    <w:rsid w:val="00AB798B"/>
    <w:rsid w:val="00AB7992"/>
    <w:rsid w:val="00AC064A"/>
    <w:rsid w:val="00AC0DD4"/>
    <w:rsid w:val="00AC1A41"/>
    <w:rsid w:val="00AC1BD7"/>
    <w:rsid w:val="00AC460C"/>
    <w:rsid w:val="00AC4E34"/>
    <w:rsid w:val="00AC59FD"/>
    <w:rsid w:val="00AC6D2D"/>
    <w:rsid w:val="00AC7361"/>
    <w:rsid w:val="00AC7D09"/>
    <w:rsid w:val="00AD09D9"/>
    <w:rsid w:val="00AD0BD8"/>
    <w:rsid w:val="00AD2187"/>
    <w:rsid w:val="00AD2DB9"/>
    <w:rsid w:val="00AD45C8"/>
    <w:rsid w:val="00AD52B9"/>
    <w:rsid w:val="00AD5398"/>
    <w:rsid w:val="00AD5ABA"/>
    <w:rsid w:val="00AD60F0"/>
    <w:rsid w:val="00AD63F9"/>
    <w:rsid w:val="00AE0D7B"/>
    <w:rsid w:val="00AE270B"/>
    <w:rsid w:val="00AE28CD"/>
    <w:rsid w:val="00AE54B7"/>
    <w:rsid w:val="00AE5515"/>
    <w:rsid w:val="00AE56ED"/>
    <w:rsid w:val="00AE5B51"/>
    <w:rsid w:val="00AE5BFB"/>
    <w:rsid w:val="00AE7607"/>
    <w:rsid w:val="00AE7997"/>
    <w:rsid w:val="00AF0200"/>
    <w:rsid w:val="00AF0BB8"/>
    <w:rsid w:val="00AF1478"/>
    <w:rsid w:val="00AF1BFE"/>
    <w:rsid w:val="00AF20C5"/>
    <w:rsid w:val="00AF2671"/>
    <w:rsid w:val="00AF3B35"/>
    <w:rsid w:val="00AF4341"/>
    <w:rsid w:val="00AF50AE"/>
    <w:rsid w:val="00AF54CE"/>
    <w:rsid w:val="00AF55BA"/>
    <w:rsid w:val="00AF5A17"/>
    <w:rsid w:val="00AF5B55"/>
    <w:rsid w:val="00AF652C"/>
    <w:rsid w:val="00AF7319"/>
    <w:rsid w:val="00AF7863"/>
    <w:rsid w:val="00AF7B72"/>
    <w:rsid w:val="00AF7C65"/>
    <w:rsid w:val="00B0070A"/>
    <w:rsid w:val="00B007C7"/>
    <w:rsid w:val="00B007F5"/>
    <w:rsid w:val="00B00835"/>
    <w:rsid w:val="00B00FBB"/>
    <w:rsid w:val="00B0313C"/>
    <w:rsid w:val="00B03CFB"/>
    <w:rsid w:val="00B03E3A"/>
    <w:rsid w:val="00B04207"/>
    <w:rsid w:val="00B0597F"/>
    <w:rsid w:val="00B06636"/>
    <w:rsid w:val="00B12ECE"/>
    <w:rsid w:val="00B134BC"/>
    <w:rsid w:val="00B1364D"/>
    <w:rsid w:val="00B152C9"/>
    <w:rsid w:val="00B15E17"/>
    <w:rsid w:val="00B16975"/>
    <w:rsid w:val="00B17209"/>
    <w:rsid w:val="00B1753B"/>
    <w:rsid w:val="00B1787A"/>
    <w:rsid w:val="00B20FE0"/>
    <w:rsid w:val="00B21733"/>
    <w:rsid w:val="00B21984"/>
    <w:rsid w:val="00B2220F"/>
    <w:rsid w:val="00B238DA"/>
    <w:rsid w:val="00B24793"/>
    <w:rsid w:val="00B250C5"/>
    <w:rsid w:val="00B2580F"/>
    <w:rsid w:val="00B25AC2"/>
    <w:rsid w:val="00B26359"/>
    <w:rsid w:val="00B2645E"/>
    <w:rsid w:val="00B26DCD"/>
    <w:rsid w:val="00B26F8A"/>
    <w:rsid w:val="00B270E2"/>
    <w:rsid w:val="00B274F2"/>
    <w:rsid w:val="00B34756"/>
    <w:rsid w:val="00B34D3A"/>
    <w:rsid w:val="00B34EFF"/>
    <w:rsid w:val="00B352CE"/>
    <w:rsid w:val="00B36F49"/>
    <w:rsid w:val="00B374E1"/>
    <w:rsid w:val="00B4066A"/>
    <w:rsid w:val="00B4133A"/>
    <w:rsid w:val="00B418AB"/>
    <w:rsid w:val="00B41B01"/>
    <w:rsid w:val="00B42740"/>
    <w:rsid w:val="00B4398E"/>
    <w:rsid w:val="00B4399C"/>
    <w:rsid w:val="00B43C1F"/>
    <w:rsid w:val="00B445F9"/>
    <w:rsid w:val="00B46688"/>
    <w:rsid w:val="00B46774"/>
    <w:rsid w:val="00B474DD"/>
    <w:rsid w:val="00B51961"/>
    <w:rsid w:val="00B51FDF"/>
    <w:rsid w:val="00B5286F"/>
    <w:rsid w:val="00B52DDE"/>
    <w:rsid w:val="00B530B1"/>
    <w:rsid w:val="00B54E52"/>
    <w:rsid w:val="00B57AC2"/>
    <w:rsid w:val="00B61B06"/>
    <w:rsid w:val="00B6361A"/>
    <w:rsid w:val="00B6483A"/>
    <w:rsid w:val="00B64DB3"/>
    <w:rsid w:val="00B65C5D"/>
    <w:rsid w:val="00B66031"/>
    <w:rsid w:val="00B66863"/>
    <w:rsid w:val="00B67124"/>
    <w:rsid w:val="00B6733D"/>
    <w:rsid w:val="00B70E3E"/>
    <w:rsid w:val="00B71F70"/>
    <w:rsid w:val="00B72B5A"/>
    <w:rsid w:val="00B72DA7"/>
    <w:rsid w:val="00B731E8"/>
    <w:rsid w:val="00B73BA9"/>
    <w:rsid w:val="00B743E2"/>
    <w:rsid w:val="00B75811"/>
    <w:rsid w:val="00B75861"/>
    <w:rsid w:val="00B76A47"/>
    <w:rsid w:val="00B7756F"/>
    <w:rsid w:val="00B80B13"/>
    <w:rsid w:val="00B817B0"/>
    <w:rsid w:val="00B839C8"/>
    <w:rsid w:val="00B84DE7"/>
    <w:rsid w:val="00B84DFC"/>
    <w:rsid w:val="00B860E7"/>
    <w:rsid w:val="00B870FC"/>
    <w:rsid w:val="00B90749"/>
    <w:rsid w:val="00B91995"/>
    <w:rsid w:val="00B91AE8"/>
    <w:rsid w:val="00B933B6"/>
    <w:rsid w:val="00B93F93"/>
    <w:rsid w:val="00B95011"/>
    <w:rsid w:val="00B953FB"/>
    <w:rsid w:val="00B95420"/>
    <w:rsid w:val="00B95C12"/>
    <w:rsid w:val="00B95F71"/>
    <w:rsid w:val="00B96F7D"/>
    <w:rsid w:val="00B97821"/>
    <w:rsid w:val="00BA0880"/>
    <w:rsid w:val="00BA124A"/>
    <w:rsid w:val="00BA1F17"/>
    <w:rsid w:val="00BA2E65"/>
    <w:rsid w:val="00BA2EF2"/>
    <w:rsid w:val="00BA30FD"/>
    <w:rsid w:val="00BA325E"/>
    <w:rsid w:val="00BA32B5"/>
    <w:rsid w:val="00BA338E"/>
    <w:rsid w:val="00BA4114"/>
    <w:rsid w:val="00BA4E9F"/>
    <w:rsid w:val="00BA6615"/>
    <w:rsid w:val="00BB0108"/>
    <w:rsid w:val="00BB0424"/>
    <w:rsid w:val="00BB0B8D"/>
    <w:rsid w:val="00BB1995"/>
    <w:rsid w:val="00BB2840"/>
    <w:rsid w:val="00BB2B32"/>
    <w:rsid w:val="00BB3755"/>
    <w:rsid w:val="00BB4669"/>
    <w:rsid w:val="00BB4799"/>
    <w:rsid w:val="00BB4911"/>
    <w:rsid w:val="00BB4A00"/>
    <w:rsid w:val="00BB4D8C"/>
    <w:rsid w:val="00BB58B4"/>
    <w:rsid w:val="00BB6895"/>
    <w:rsid w:val="00BB6EB3"/>
    <w:rsid w:val="00BC0858"/>
    <w:rsid w:val="00BC0F9A"/>
    <w:rsid w:val="00BC1537"/>
    <w:rsid w:val="00BC1ACA"/>
    <w:rsid w:val="00BC3315"/>
    <w:rsid w:val="00BC478C"/>
    <w:rsid w:val="00BC486D"/>
    <w:rsid w:val="00BC4C8E"/>
    <w:rsid w:val="00BC5AC0"/>
    <w:rsid w:val="00BC619F"/>
    <w:rsid w:val="00BC66B6"/>
    <w:rsid w:val="00BC74DF"/>
    <w:rsid w:val="00BD0D38"/>
    <w:rsid w:val="00BD181A"/>
    <w:rsid w:val="00BD2BF7"/>
    <w:rsid w:val="00BD33DE"/>
    <w:rsid w:val="00BD3B6D"/>
    <w:rsid w:val="00BD6432"/>
    <w:rsid w:val="00BD6E8D"/>
    <w:rsid w:val="00BD7A4F"/>
    <w:rsid w:val="00BD7F7E"/>
    <w:rsid w:val="00BE0AA2"/>
    <w:rsid w:val="00BE0B15"/>
    <w:rsid w:val="00BE2014"/>
    <w:rsid w:val="00BE20C8"/>
    <w:rsid w:val="00BE2610"/>
    <w:rsid w:val="00BE26AB"/>
    <w:rsid w:val="00BE2F4C"/>
    <w:rsid w:val="00BE3881"/>
    <w:rsid w:val="00BE4369"/>
    <w:rsid w:val="00BE491C"/>
    <w:rsid w:val="00BE49F4"/>
    <w:rsid w:val="00BE55D0"/>
    <w:rsid w:val="00BE62FB"/>
    <w:rsid w:val="00BE7670"/>
    <w:rsid w:val="00BF0469"/>
    <w:rsid w:val="00BF140B"/>
    <w:rsid w:val="00BF3129"/>
    <w:rsid w:val="00BF34D7"/>
    <w:rsid w:val="00BF4888"/>
    <w:rsid w:val="00BF5F8D"/>
    <w:rsid w:val="00BF775F"/>
    <w:rsid w:val="00C00394"/>
    <w:rsid w:val="00C00AF0"/>
    <w:rsid w:val="00C01D05"/>
    <w:rsid w:val="00C01ED5"/>
    <w:rsid w:val="00C028BF"/>
    <w:rsid w:val="00C03CAE"/>
    <w:rsid w:val="00C03DD1"/>
    <w:rsid w:val="00C0449F"/>
    <w:rsid w:val="00C05103"/>
    <w:rsid w:val="00C05A25"/>
    <w:rsid w:val="00C1022B"/>
    <w:rsid w:val="00C10382"/>
    <w:rsid w:val="00C10451"/>
    <w:rsid w:val="00C105F0"/>
    <w:rsid w:val="00C107FC"/>
    <w:rsid w:val="00C10EDD"/>
    <w:rsid w:val="00C1139A"/>
    <w:rsid w:val="00C13466"/>
    <w:rsid w:val="00C14281"/>
    <w:rsid w:val="00C14A07"/>
    <w:rsid w:val="00C14B12"/>
    <w:rsid w:val="00C15071"/>
    <w:rsid w:val="00C15C22"/>
    <w:rsid w:val="00C17408"/>
    <w:rsid w:val="00C17A3E"/>
    <w:rsid w:val="00C20F57"/>
    <w:rsid w:val="00C23643"/>
    <w:rsid w:val="00C236C9"/>
    <w:rsid w:val="00C238D3"/>
    <w:rsid w:val="00C23CEA"/>
    <w:rsid w:val="00C23D89"/>
    <w:rsid w:val="00C24763"/>
    <w:rsid w:val="00C25487"/>
    <w:rsid w:val="00C25D8D"/>
    <w:rsid w:val="00C268C4"/>
    <w:rsid w:val="00C27C09"/>
    <w:rsid w:val="00C317E3"/>
    <w:rsid w:val="00C324F3"/>
    <w:rsid w:val="00C337DD"/>
    <w:rsid w:val="00C33E85"/>
    <w:rsid w:val="00C340FC"/>
    <w:rsid w:val="00C341E0"/>
    <w:rsid w:val="00C3456B"/>
    <w:rsid w:val="00C34643"/>
    <w:rsid w:val="00C35358"/>
    <w:rsid w:val="00C354AD"/>
    <w:rsid w:val="00C3649E"/>
    <w:rsid w:val="00C366FA"/>
    <w:rsid w:val="00C37075"/>
    <w:rsid w:val="00C37683"/>
    <w:rsid w:val="00C37B16"/>
    <w:rsid w:val="00C40525"/>
    <w:rsid w:val="00C40D07"/>
    <w:rsid w:val="00C40EA9"/>
    <w:rsid w:val="00C41357"/>
    <w:rsid w:val="00C419A8"/>
    <w:rsid w:val="00C41E20"/>
    <w:rsid w:val="00C420FC"/>
    <w:rsid w:val="00C42FA1"/>
    <w:rsid w:val="00C44902"/>
    <w:rsid w:val="00C44EF5"/>
    <w:rsid w:val="00C45B3A"/>
    <w:rsid w:val="00C476D4"/>
    <w:rsid w:val="00C478BE"/>
    <w:rsid w:val="00C511E2"/>
    <w:rsid w:val="00C53B6D"/>
    <w:rsid w:val="00C53FF9"/>
    <w:rsid w:val="00C559E3"/>
    <w:rsid w:val="00C57A86"/>
    <w:rsid w:val="00C6026F"/>
    <w:rsid w:val="00C60D16"/>
    <w:rsid w:val="00C61B71"/>
    <w:rsid w:val="00C64538"/>
    <w:rsid w:val="00C645BB"/>
    <w:rsid w:val="00C6694A"/>
    <w:rsid w:val="00C67A39"/>
    <w:rsid w:val="00C70305"/>
    <w:rsid w:val="00C71D9D"/>
    <w:rsid w:val="00C735A3"/>
    <w:rsid w:val="00C737A0"/>
    <w:rsid w:val="00C73BAC"/>
    <w:rsid w:val="00C74FD1"/>
    <w:rsid w:val="00C75BC9"/>
    <w:rsid w:val="00C7618F"/>
    <w:rsid w:val="00C76FD2"/>
    <w:rsid w:val="00C77F6B"/>
    <w:rsid w:val="00C8008D"/>
    <w:rsid w:val="00C81D7A"/>
    <w:rsid w:val="00C8475B"/>
    <w:rsid w:val="00C85551"/>
    <w:rsid w:val="00C85D29"/>
    <w:rsid w:val="00C87185"/>
    <w:rsid w:val="00C905A1"/>
    <w:rsid w:val="00C90DC1"/>
    <w:rsid w:val="00C911AF"/>
    <w:rsid w:val="00C912EB"/>
    <w:rsid w:val="00C91B2C"/>
    <w:rsid w:val="00C91BB2"/>
    <w:rsid w:val="00C92520"/>
    <w:rsid w:val="00C92AF0"/>
    <w:rsid w:val="00C9355A"/>
    <w:rsid w:val="00C937EB"/>
    <w:rsid w:val="00C938E2"/>
    <w:rsid w:val="00C9395C"/>
    <w:rsid w:val="00C96003"/>
    <w:rsid w:val="00C96151"/>
    <w:rsid w:val="00C97F1B"/>
    <w:rsid w:val="00CA12CC"/>
    <w:rsid w:val="00CA1D6A"/>
    <w:rsid w:val="00CA2922"/>
    <w:rsid w:val="00CA2A0B"/>
    <w:rsid w:val="00CA2DF0"/>
    <w:rsid w:val="00CA3F0F"/>
    <w:rsid w:val="00CA68F3"/>
    <w:rsid w:val="00CA71FA"/>
    <w:rsid w:val="00CA7CBD"/>
    <w:rsid w:val="00CA7D96"/>
    <w:rsid w:val="00CB0065"/>
    <w:rsid w:val="00CB0543"/>
    <w:rsid w:val="00CB173B"/>
    <w:rsid w:val="00CB1B62"/>
    <w:rsid w:val="00CB291B"/>
    <w:rsid w:val="00CB3BC2"/>
    <w:rsid w:val="00CB3ED3"/>
    <w:rsid w:val="00CB4911"/>
    <w:rsid w:val="00CB5B17"/>
    <w:rsid w:val="00CB7365"/>
    <w:rsid w:val="00CC0762"/>
    <w:rsid w:val="00CC0EBA"/>
    <w:rsid w:val="00CC1011"/>
    <w:rsid w:val="00CC3D8C"/>
    <w:rsid w:val="00CC412D"/>
    <w:rsid w:val="00CC5D51"/>
    <w:rsid w:val="00CC6D40"/>
    <w:rsid w:val="00CD1478"/>
    <w:rsid w:val="00CD152C"/>
    <w:rsid w:val="00CD21BA"/>
    <w:rsid w:val="00CD5681"/>
    <w:rsid w:val="00CD68A2"/>
    <w:rsid w:val="00CD6999"/>
    <w:rsid w:val="00CD7087"/>
    <w:rsid w:val="00CD74E6"/>
    <w:rsid w:val="00CE1D34"/>
    <w:rsid w:val="00CE3BAF"/>
    <w:rsid w:val="00CE580E"/>
    <w:rsid w:val="00CE649B"/>
    <w:rsid w:val="00CE6977"/>
    <w:rsid w:val="00CE6E45"/>
    <w:rsid w:val="00CE7806"/>
    <w:rsid w:val="00CE7A90"/>
    <w:rsid w:val="00CF2835"/>
    <w:rsid w:val="00CF29B1"/>
    <w:rsid w:val="00CF3803"/>
    <w:rsid w:val="00CF3BDC"/>
    <w:rsid w:val="00CF5A59"/>
    <w:rsid w:val="00CF72E6"/>
    <w:rsid w:val="00D00AE2"/>
    <w:rsid w:val="00D02DCC"/>
    <w:rsid w:val="00D02FAC"/>
    <w:rsid w:val="00D05DB7"/>
    <w:rsid w:val="00D06AA7"/>
    <w:rsid w:val="00D06BBE"/>
    <w:rsid w:val="00D102E6"/>
    <w:rsid w:val="00D105BD"/>
    <w:rsid w:val="00D106C3"/>
    <w:rsid w:val="00D10A6B"/>
    <w:rsid w:val="00D10B3E"/>
    <w:rsid w:val="00D1163C"/>
    <w:rsid w:val="00D1230F"/>
    <w:rsid w:val="00D127C4"/>
    <w:rsid w:val="00D12EF8"/>
    <w:rsid w:val="00D13BD3"/>
    <w:rsid w:val="00D14672"/>
    <w:rsid w:val="00D16114"/>
    <w:rsid w:val="00D20F88"/>
    <w:rsid w:val="00D21058"/>
    <w:rsid w:val="00D21784"/>
    <w:rsid w:val="00D21B01"/>
    <w:rsid w:val="00D22A6C"/>
    <w:rsid w:val="00D22CE7"/>
    <w:rsid w:val="00D2364E"/>
    <w:rsid w:val="00D2390D"/>
    <w:rsid w:val="00D23F64"/>
    <w:rsid w:val="00D24BF7"/>
    <w:rsid w:val="00D24F94"/>
    <w:rsid w:val="00D2655D"/>
    <w:rsid w:val="00D30F74"/>
    <w:rsid w:val="00D336FB"/>
    <w:rsid w:val="00D33ACC"/>
    <w:rsid w:val="00D33CF3"/>
    <w:rsid w:val="00D35B65"/>
    <w:rsid w:val="00D36918"/>
    <w:rsid w:val="00D41AFD"/>
    <w:rsid w:val="00D431B6"/>
    <w:rsid w:val="00D432DC"/>
    <w:rsid w:val="00D43A42"/>
    <w:rsid w:val="00D44052"/>
    <w:rsid w:val="00D44348"/>
    <w:rsid w:val="00D44D61"/>
    <w:rsid w:val="00D46B13"/>
    <w:rsid w:val="00D46C34"/>
    <w:rsid w:val="00D50C37"/>
    <w:rsid w:val="00D52E13"/>
    <w:rsid w:val="00D5372C"/>
    <w:rsid w:val="00D5532D"/>
    <w:rsid w:val="00D56E93"/>
    <w:rsid w:val="00D61835"/>
    <w:rsid w:val="00D62014"/>
    <w:rsid w:val="00D627CC"/>
    <w:rsid w:val="00D63027"/>
    <w:rsid w:val="00D6422F"/>
    <w:rsid w:val="00D64509"/>
    <w:rsid w:val="00D66931"/>
    <w:rsid w:val="00D702E0"/>
    <w:rsid w:val="00D72492"/>
    <w:rsid w:val="00D7269A"/>
    <w:rsid w:val="00D74897"/>
    <w:rsid w:val="00D74930"/>
    <w:rsid w:val="00D74DC5"/>
    <w:rsid w:val="00D74F17"/>
    <w:rsid w:val="00D754AE"/>
    <w:rsid w:val="00D75848"/>
    <w:rsid w:val="00D76D0D"/>
    <w:rsid w:val="00D81561"/>
    <w:rsid w:val="00D829E6"/>
    <w:rsid w:val="00D82FC7"/>
    <w:rsid w:val="00D8356B"/>
    <w:rsid w:val="00D8395C"/>
    <w:rsid w:val="00D83A4E"/>
    <w:rsid w:val="00D84F98"/>
    <w:rsid w:val="00D852E2"/>
    <w:rsid w:val="00D870E0"/>
    <w:rsid w:val="00D90EED"/>
    <w:rsid w:val="00D9100E"/>
    <w:rsid w:val="00D91363"/>
    <w:rsid w:val="00D9186F"/>
    <w:rsid w:val="00D933B0"/>
    <w:rsid w:val="00D94A35"/>
    <w:rsid w:val="00D950DF"/>
    <w:rsid w:val="00D96E90"/>
    <w:rsid w:val="00D975CE"/>
    <w:rsid w:val="00DA0F6F"/>
    <w:rsid w:val="00DA211F"/>
    <w:rsid w:val="00DA229F"/>
    <w:rsid w:val="00DA2657"/>
    <w:rsid w:val="00DA2E55"/>
    <w:rsid w:val="00DA3CBD"/>
    <w:rsid w:val="00DA3FEC"/>
    <w:rsid w:val="00DA46B4"/>
    <w:rsid w:val="00DA4BEE"/>
    <w:rsid w:val="00DB054A"/>
    <w:rsid w:val="00DB0D56"/>
    <w:rsid w:val="00DB1B28"/>
    <w:rsid w:val="00DB3680"/>
    <w:rsid w:val="00DB3D7B"/>
    <w:rsid w:val="00DB4930"/>
    <w:rsid w:val="00DB50A6"/>
    <w:rsid w:val="00DB77FC"/>
    <w:rsid w:val="00DB78D8"/>
    <w:rsid w:val="00DB7BA8"/>
    <w:rsid w:val="00DC0778"/>
    <w:rsid w:val="00DC0A31"/>
    <w:rsid w:val="00DC131A"/>
    <w:rsid w:val="00DC2638"/>
    <w:rsid w:val="00DC3250"/>
    <w:rsid w:val="00DC4C52"/>
    <w:rsid w:val="00DD0519"/>
    <w:rsid w:val="00DD2C9A"/>
    <w:rsid w:val="00DD303A"/>
    <w:rsid w:val="00DD3BDA"/>
    <w:rsid w:val="00DD3E0D"/>
    <w:rsid w:val="00DD5397"/>
    <w:rsid w:val="00DD5A08"/>
    <w:rsid w:val="00DD5A6E"/>
    <w:rsid w:val="00DD5D04"/>
    <w:rsid w:val="00DD6421"/>
    <w:rsid w:val="00DD6C0E"/>
    <w:rsid w:val="00DD7FCB"/>
    <w:rsid w:val="00DE0815"/>
    <w:rsid w:val="00DE13A2"/>
    <w:rsid w:val="00DE1491"/>
    <w:rsid w:val="00DE25CE"/>
    <w:rsid w:val="00DE43EE"/>
    <w:rsid w:val="00DE4814"/>
    <w:rsid w:val="00DE6695"/>
    <w:rsid w:val="00DE7E58"/>
    <w:rsid w:val="00DF3213"/>
    <w:rsid w:val="00DF4B88"/>
    <w:rsid w:val="00DF4C91"/>
    <w:rsid w:val="00DF56B0"/>
    <w:rsid w:val="00DF57CE"/>
    <w:rsid w:val="00DF64B9"/>
    <w:rsid w:val="00DF73C7"/>
    <w:rsid w:val="00E004DF"/>
    <w:rsid w:val="00E0175E"/>
    <w:rsid w:val="00E02924"/>
    <w:rsid w:val="00E06923"/>
    <w:rsid w:val="00E06F12"/>
    <w:rsid w:val="00E07CBF"/>
    <w:rsid w:val="00E1011B"/>
    <w:rsid w:val="00E1049E"/>
    <w:rsid w:val="00E11172"/>
    <w:rsid w:val="00E11994"/>
    <w:rsid w:val="00E12189"/>
    <w:rsid w:val="00E14688"/>
    <w:rsid w:val="00E15307"/>
    <w:rsid w:val="00E1562F"/>
    <w:rsid w:val="00E1564E"/>
    <w:rsid w:val="00E16231"/>
    <w:rsid w:val="00E1676B"/>
    <w:rsid w:val="00E170C8"/>
    <w:rsid w:val="00E2003B"/>
    <w:rsid w:val="00E20624"/>
    <w:rsid w:val="00E22791"/>
    <w:rsid w:val="00E2280E"/>
    <w:rsid w:val="00E23B0F"/>
    <w:rsid w:val="00E26A94"/>
    <w:rsid w:val="00E26B0E"/>
    <w:rsid w:val="00E302CB"/>
    <w:rsid w:val="00E3041B"/>
    <w:rsid w:val="00E305D5"/>
    <w:rsid w:val="00E3074C"/>
    <w:rsid w:val="00E331A3"/>
    <w:rsid w:val="00E34E26"/>
    <w:rsid w:val="00E34EC9"/>
    <w:rsid w:val="00E34F8C"/>
    <w:rsid w:val="00E358B0"/>
    <w:rsid w:val="00E3629D"/>
    <w:rsid w:val="00E3637B"/>
    <w:rsid w:val="00E37208"/>
    <w:rsid w:val="00E40D4F"/>
    <w:rsid w:val="00E412DF"/>
    <w:rsid w:val="00E414BE"/>
    <w:rsid w:val="00E41DB3"/>
    <w:rsid w:val="00E42303"/>
    <w:rsid w:val="00E43E3A"/>
    <w:rsid w:val="00E44356"/>
    <w:rsid w:val="00E45B3E"/>
    <w:rsid w:val="00E47708"/>
    <w:rsid w:val="00E47A63"/>
    <w:rsid w:val="00E47BD1"/>
    <w:rsid w:val="00E47E52"/>
    <w:rsid w:val="00E50801"/>
    <w:rsid w:val="00E512C4"/>
    <w:rsid w:val="00E52785"/>
    <w:rsid w:val="00E5383A"/>
    <w:rsid w:val="00E53B95"/>
    <w:rsid w:val="00E5480F"/>
    <w:rsid w:val="00E56796"/>
    <w:rsid w:val="00E5736D"/>
    <w:rsid w:val="00E574FE"/>
    <w:rsid w:val="00E60B35"/>
    <w:rsid w:val="00E612A7"/>
    <w:rsid w:val="00E612CF"/>
    <w:rsid w:val="00E662EA"/>
    <w:rsid w:val="00E66D6B"/>
    <w:rsid w:val="00E67137"/>
    <w:rsid w:val="00E67488"/>
    <w:rsid w:val="00E70674"/>
    <w:rsid w:val="00E71720"/>
    <w:rsid w:val="00E71EB5"/>
    <w:rsid w:val="00E7203D"/>
    <w:rsid w:val="00E72E33"/>
    <w:rsid w:val="00E73B3A"/>
    <w:rsid w:val="00E73F03"/>
    <w:rsid w:val="00E74B51"/>
    <w:rsid w:val="00E75668"/>
    <w:rsid w:val="00E75F84"/>
    <w:rsid w:val="00E7691B"/>
    <w:rsid w:val="00E77522"/>
    <w:rsid w:val="00E809F0"/>
    <w:rsid w:val="00E824AE"/>
    <w:rsid w:val="00E8351B"/>
    <w:rsid w:val="00E8509E"/>
    <w:rsid w:val="00E8537F"/>
    <w:rsid w:val="00E8580D"/>
    <w:rsid w:val="00E8594A"/>
    <w:rsid w:val="00E868D2"/>
    <w:rsid w:val="00E878F6"/>
    <w:rsid w:val="00E87CCA"/>
    <w:rsid w:val="00E9031C"/>
    <w:rsid w:val="00E9068C"/>
    <w:rsid w:val="00E9108D"/>
    <w:rsid w:val="00E928E3"/>
    <w:rsid w:val="00E92929"/>
    <w:rsid w:val="00E94A37"/>
    <w:rsid w:val="00E94A67"/>
    <w:rsid w:val="00E96395"/>
    <w:rsid w:val="00E969D9"/>
    <w:rsid w:val="00E97151"/>
    <w:rsid w:val="00E9751A"/>
    <w:rsid w:val="00E976DD"/>
    <w:rsid w:val="00E97E80"/>
    <w:rsid w:val="00EA0389"/>
    <w:rsid w:val="00EA0491"/>
    <w:rsid w:val="00EA158A"/>
    <w:rsid w:val="00EA1A26"/>
    <w:rsid w:val="00EA4203"/>
    <w:rsid w:val="00EA4A60"/>
    <w:rsid w:val="00EA62E9"/>
    <w:rsid w:val="00EA6576"/>
    <w:rsid w:val="00EA71E8"/>
    <w:rsid w:val="00EB36AC"/>
    <w:rsid w:val="00EB50D3"/>
    <w:rsid w:val="00EB730E"/>
    <w:rsid w:val="00EC01CC"/>
    <w:rsid w:val="00EC0A2F"/>
    <w:rsid w:val="00EC13C1"/>
    <w:rsid w:val="00EC1EFC"/>
    <w:rsid w:val="00EC2AC0"/>
    <w:rsid w:val="00EC34E4"/>
    <w:rsid w:val="00EC5555"/>
    <w:rsid w:val="00EC6830"/>
    <w:rsid w:val="00EC6B1D"/>
    <w:rsid w:val="00EC6FCD"/>
    <w:rsid w:val="00EC7E3D"/>
    <w:rsid w:val="00ED1B58"/>
    <w:rsid w:val="00ED4153"/>
    <w:rsid w:val="00ED5252"/>
    <w:rsid w:val="00ED58B7"/>
    <w:rsid w:val="00ED5FA8"/>
    <w:rsid w:val="00ED6898"/>
    <w:rsid w:val="00ED6D56"/>
    <w:rsid w:val="00ED6EAF"/>
    <w:rsid w:val="00ED7A0B"/>
    <w:rsid w:val="00EE06F9"/>
    <w:rsid w:val="00EE0BFE"/>
    <w:rsid w:val="00EE0C36"/>
    <w:rsid w:val="00EE1317"/>
    <w:rsid w:val="00EE212D"/>
    <w:rsid w:val="00EE298F"/>
    <w:rsid w:val="00EE3AA3"/>
    <w:rsid w:val="00EE4CE8"/>
    <w:rsid w:val="00EE4F62"/>
    <w:rsid w:val="00EE558D"/>
    <w:rsid w:val="00EE70EA"/>
    <w:rsid w:val="00EE713A"/>
    <w:rsid w:val="00EE7C45"/>
    <w:rsid w:val="00EE7C9F"/>
    <w:rsid w:val="00EF1CAA"/>
    <w:rsid w:val="00EF1E69"/>
    <w:rsid w:val="00EF3051"/>
    <w:rsid w:val="00EF39EF"/>
    <w:rsid w:val="00EF552E"/>
    <w:rsid w:val="00EF7579"/>
    <w:rsid w:val="00EF7E03"/>
    <w:rsid w:val="00F0137D"/>
    <w:rsid w:val="00F01454"/>
    <w:rsid w:val="00F014FE"/>
    <w:rsid w:val="00F0155A"/>
    <w:rsid w:val="00F017D2"/>
    <w:rsid w:val="00F01850"/>
    <w:rsid w:val="00F01A0C"/>
    <w:rsid w:val="00F01E17"/>
    <w:rsid w:val="00F0254E"/>
    <w:rsid w:val="00F02E86"/>
    <w:rsid w:val="00F0310D"/>
    <w:rsid w:val="00F03674"/>
    <w:rsid w:val="00F03688"/>
    <w:rsid w:val="00F03921"/>
    <w:rsid w:val="00F05351"/>
    <w:rsid w:val="00F0601C"/>
    <w:rsid w:val="00F06163"/>
    <w:rsid w:val="00F0711C"/>
    <w:rsid w:val="00F07249"/>
    <w:rsid w:val="00F07469"/>
    <w:rsid w:val="00F077D2"/>
    <w:rsid w:val="00F10206"/>
    <w:rsid w:val="00F106BF"/>
    <w:rsid w:val="00F11A15"/>
    <w:rsid w:val="00F12BC1"/>
    <w:rsid w:val="00F1395A"/>
    <w:rsid w:val="00F139B9"/>
    <w:rsid w:val="00F13EC6"/>
    <w:rsid w:val="00F14416"/>
    <w:rsid w:val="00F158BD"/>
    <w:rsid w:val="00F159EA"/>
    <w:rsid w:val="00F20ED0"/>
    <w:rsid w:val="00F21733"/>
    <w:rsid w:val="00F21816"/>
    <w:rsid w:val="00F218E1"/>
    <w:rsid w:val="00F22A61"/>
    <w:rsid w:val="00F22B55"/>
    <w:rsid w:val="00F22C7D"/>
    <w:rsid w:val="00F230EB"/>
    <w:rsid w:val="00F23D56"/>
    <w:rsid w:val="00F2438E"/>
    <w:rsid w:val="00F2494D"/>
    <w:rsid w:val="00F24CFD"/>
    <w:rsid w:val="00F2574B"/>
    <w:rsid w:val="00F25B80"/>
    <w:rsid w:val="00F2636E"/>
    <w:rsid w:val="00F273FA"/>
    <w:rsid w:val="00F315B1"/>
    <w:rsid w:val="00F31602"/>
    <w:rsid w:val="00F31786"/>
    <w:rsid w:val="00F32245"/>
    <w:rsid w:val="00F329CA"/>
    <w:rsid w:val="00F334FF"/>
    <w:rsid w:val="00F338A9"/>
    <w:rsid w:val="00F35735"/>
    <w:rsid w:val="00F3599E"/>
    <w:rsid w:val="00F36CA5"/>
    <w:rsid w:val="00F37583"/>
    <w:rsid w:val="00F37CE2"/>
    <w:rsid w:val="00F4026E"/>
    <w:rsid w:val="00F41594"/>
    <w:rsid w:val="00F41B5E"/>
    <w:rsid w:val="00F41C53"/>
    <w:rsid w:val="00F42F28"/>
    <w:rsid w:val="00F43615"/>
    <w:rsid w:val="00F44EC5"/>
    <w:rsid w:val="00F462DD"/>
    <w:rsid w:val="00F463AF"/>
    <w:rsid w:val="00F47911"/>
    <w:rsid w:val="00F523A7"/>
    <w:rsid w:val="00F52A58"/>
    <w:rsid w:val="00F5364A"/>
    <w:rsid w:val="00F54225"/>
    <w:rsid w:val="00F54925"/>
    <w:rsid w:val="00F54E6A"/>
    <w:rsid w:val="00F555A9"/>
    <w:rsid w:val="00F60BA3"/>
    <w:rsid w:val="00F60E78"/>
    <w:rsid w:val="00F64BEF"/>
    <w:rsid w:val="00F653BD"/>
    <w:rsid w:val="00F656A0"/>
    <w:rsid w:val="00F65858"/>
    <w:rsid w:val="00F665E5"/>
    <w:rsid w:val="00F668C8"/>
    <w:rsid w:val="00F6712D"/>
    <w:rsid w:val="00F7002E"/>
    <w:rsid w:val="00F71923"/>
    <w:rsid w:val="00F71B45"/>
    <w:rsid w:val="00F72B94"/>
    <w:rsid w:val="00F72C1A"/>
    <w:rsid w:val="00F72E45"/>
    <w:rsid w:val="00F7419B"/>
    <w:rsid w:val="00F76EDC"/>
    <w:rsid w:val="00F7748D"/>
    <w:rsid w:val="00F80E90"/>
    <w:rsid w:val="00F818E3"/>
    <w:rsid w:val="00F8211C"/>
    <w:rsid w:val="00F83CDF"/>
    <w:rsid w:val="00F83FD4"/>
    <w:rsid w:val="00F84CDB"/>
    <w:rsid w:val="00F85C15"/>
    <w:rsid w:val="00F861DA"/>
    <w:rsid w:val="00F8753A"/>
    <w:rsid w:val="00F8781C"/>
    <w:rsid w:val="00F87A1E"/>
    <w:rsid w:val="00F907AE"/>
    <w:rsid w:val="00F907DE"/>
    <w:rsid w:val="00F90E72"/>
    <w:rsid w:val="00F92676"/>
    <w:rsid w:val="00F92B4D"/>
    <w:rsid w:val="00F9433A"/>
    <w:rsid w:val="00F9469C"/>
    <w:rsid w:val="00F94C36"/>
    <w:rsid w:val="00F94DC2"/>
    <w:rsid w:val="00F963B2"/>
    <w:rsid w:val="00F9748D"/>
    <w:rsid w:val="00FA010E"/>
    <w:rsid w:val="00FA10AD"/>
    <w:rsid w:val="00FA1216"/>
    <w:rsid w:val="00FA1C6B"/>
    <w:rsid w:val="00FA2728"/>
    <w:rsid w:val="00FA5FD5"/>
    <w:rsid w:val="00FA6555"/>
    <w:rsid w:val="00FA68A4"/>
    <w:rsid w:val="00FA691D"/>
    <w:rsid w:val="00FA6BEB"/>
    <w:rsid w:val="00FA6D69"/>
    <w:rsid w:val="00FB2B8F"/>
    <w:rsid w:val="00FB412F"/>
    <w:rsid w:val="00FB5474"/>
    <w:rsid w:val="00FB5655"/>
    <w:rsid w:val="00FB59FC"/>
    <w:rsid w:val="00FB642F"/>
    <w:rsid w:val="00FB64AE"/>
    <w:rsid w:val="00FC0026"/>
    <w:rsid w:val="00FC0792"/>
    <w:rsid w:val="00FC0843"/>
    <w:rsid w:val="00FC0DB9"/>
    <w:rsid w:val="00FC1517"/>
    <w:rsid w:val="00FC1F4D"/>
    <w:rsid w:val="00FC2A32"/>
    <w:rsid w:val="00FC3091"/>
    <w:rsid w:val="00FC329E"/>
    <w:rsid w:val="00FC366F"/>
    <w:rsid w:val="00FC389D"/>
    <w:rsid w:val="00FC3ED8"/>
    <w:rsid w:val="00FC49CF"/>
    <w:rsid w:val="00FC4A0C"/>
    <w:rsid w:val="00FC59F9"/>
    <w:rsid w:val="00FC6CA0"/>
    <w:rsid w:val="00FC76D5"/>
    <w:rsid w:val="00FC7C59"/>
    <w:rsid w:val="00FD0388"/>
    <w:rsid w:val="00FD0AD2"/>
    <w:rsid w:val="00FD128B"/>
    <w:rsid w:val="00FD1806"/>
    <w:rsid w:val="00FD19FC"/>
    <w:rsid w:val="00FD27C1"/>
    <w:rsid w:val="00FD28C0"/>
    <w:rsid w:val="00FD497A"/>
    <w:rsid w:val="00FD64A3"/>
    <w:rsid w:val="00FD6677"/>
    <w:rsid w:val="00FD6A43"/>
    <w:rsid w:val="00FD72AC"/>
    <w:rsid w:val="00FE02EA"/>
    <w:rsid w:val="00FE1AF3"/>
    <w:rsid w:val="00FE4346"/>
    <w:rsid w:val="00FE44AA"/>
    <w:rsid w:val="00FE567B"/>
    <w:rsid w:val="00FE7641"/>
    <w:rsid w:val="00FE7A4D"/>
    <w:rsid w:val="00FF097F"/>
    <w:rsid w:val="00FF1C98"/>
    <w:rsid w:val="00FF634D"/>
    <w:rsid w:val="00FF74EB"/>
    <w:rsid w:val="011C0918"/>
    <w:rsid w:val="03992E04"/>
    <w:rsid w:val="03A62A9C"/>
    <w:rsid w:val="047C0700"/>
    <w:rsid w:val="05597A8E"/>
    <w:rsid w:val="05AC4D58"/>
    <w:rsid w:val="05BF0231"/>
    <w:rsid w:val="063D0F31"/>
    <w:rsid w:val="06AB256C"/>
    <w:rsid w:val="07AA5CA9"/>
    <w:rsid w:val="08FC0F32"/>
    <w:rsid w:val="0A61492E"/>
    <w:rsid w:val="0A694EBA"/>
    <w:rsid w:val="0BAB7195"/>
    <w:rsid w:val="0CBE5C5F"/>
    <w:rsid w:val="10E87F97"/>
    <w:rsid w:val="11B649F8"/>
    <w:rsid w:val="12321E92"/>
    <w:rsid w:val="143E3E29"/>
    <w:rsid w:val="15D36A87"/>
    <w:rsid w:val="15E72156"/>
    <w:rsid w:val="163D744C"/>
    <w:rsid w:val="170E68D4"/>
    <w:rsid w:val="174D66DE"/>
    <w:rsid w:val="179C57E6"/>
    <w:rsid w:val="1843191D"/>
    <w:rsid w:val="18D01276"/>
    <w:rsid w:val="191A47D4"/>
    <w:rsid w:val="1A384D77"/>
    <w:rsid w:val="1AE447FC"/>
    <w:rsid w:val="1BF22A97"/>
    <w:rsid w:val="1DF919CC"/>
    <w:rsid w:val="1E8202F3"/>
    <w:rsid w:val="1ED9412F"/>
    <w:rsid w:val="229F06B0"/>
    <w:rsid w:val="22B13EC6"/>
    <w:rsid w:val="23A51DA6"/>
    <w:rsid w:val="23A56DAC"/>
    <w:rsid w:val="23D26F32"/>
    <w:rsid w:val="240B439A"/>
    <w:rsid w:val="2432352D"/>
    <w:rsid w:val="24661D0C"/>
    <w:rsid w:val="27982E37"/>
    <w:rsid w:val="27EF792B"/>
    <w:rsid w:val="281D7DA9"/>
    <w:rsid w:val="28685DC9"/>
    <w:rsid w:val="28C53AD8"/>
    <w:rsid w:val="29C5069C"/>
    <w:rsid w:val="2AEE3220"/>
    <w:rsid w:val="2B3A5F36"/>
    <w:rsid w:val="2B863FEF"/>
    <w:rsid w:val="2C557DCC"/>
    <w:rsid w:val="2D105BFB"/>
    <w:rsid w:val="2D3B7AC3"/>
    <w:rsid w:val="2D9D6057"/>
    <w:rsid w:val="2E593183"/>
    <w:rsid w:val="2ECB03C6"/>
    <w:rsid w:val="2FB0013B"/>
    <w:rsid w:val="30582CAF"/>
    <w:rsid w:val="307A751A"/>
    <w:rsid w:val="310D4306"/>
    <w:rsid w:val="31603DCF"/>
    <w:rsid w:val="320A4A93"/>
    <w:rsid w:val="33535DE3"/>
    <w:rsid w:val="33BA356A"/>
    <w:rsid w:val="34964F57"/>
    <w:rsid w:val="352C5479"/>
    <w:rsid w:val="3568683D"/>
    <w:rsid w:val="35CA015C"/>
    <w:rsid w:val="37047438"/>
    <w:rsid w:val="375458D3"/>
    <w:rsid w:val="38B62526"/>
    <w:rsid w:val="38D738F5"/>
    <w:rsid w:val="3A371445"/>
    <w:rsid w:val="3A3C5EAF"/>
    <w:rsid w:val="3C9B6A2E"/>
    <w:rsid w:val="3CA7583E"/>
    <w:rsid w:val="3E3C150F"/>
    <w:rsid w:val="3EC75F06"/>
    <w:rsid w:val="42274EA2"/>
    <w:rsid w:val="42CB6BCE"/>
    <w:rsid w:val="43E97C54"/>
    <w:rsid w:val="454D4CAD"/>
    <w:rsid w:val="459B2240"/>
    <w:rsid w:val="45D74202"/>
    <w:rsid w:val="46117E8A"/>
    <w:rsid w:val="474A384B"/>
    <w:rsid w:val="48931F3C"/>
    <w:rsid w:val="49A74DE9"/>
    <w:rsid w:val="4A701FEF"/>
    <w:rsid w:val="4C92328A"/>
    <w:rsid w:val="4D980738"/>
    <w:rsid w:val="4E310603"/>
    <w:rsid w:val="4F15312D"/>
    <w:rsid w:val="4F870321"/>
    <w:rsid w:val="4FE02773"/>
    <w:rsid w:val="503F4163"/>
    <w:rsid w:val="515E160B"/>
    <w:rsid w:val="51874201"/>
    <w:rsid w:val="52B90D15"/>
    <w:rsid w:val="532022FE"/>
    <w:rsid w:val="53370DC4"/>
    <w:rsid w:val="537E67B0"/>
    <w:rsid w:val="54793847"/>
    <w:rsid w:val="5625648D"/>
    <w:rsid w:val="565515AF"/>
    <w:rsid w:val="56CD0BD8"/>
    <w:rsid w:val="56EC041B"/>
    <w:rsid w:val="56F80AD1"/>
    <w:rsid w:val="56F97D56"/>
    <w:rsid w:val="58C31EA4"/>
    <w:rsid w:val="597162CA"/>
    <w:rsid w:val="597B51DC"/>
    <w:rsid w:val="5B5B08F8"/>
    <w:rsid w:val="5BCA3C69"/>
    <w:rsid w:val="5DCA244C"/>
    <w:rsid w:val="5E376929"/>
    <w:rsid w:val="5F1E40AA"/>
    <w:rsid w:val="5F5B2035"/>
    <w:rsid w:val="5F653C5D"/>
    <w:rsid w:val="612B4302"/>
    <w:rsid w:val="62E61F7A"/>
    <w:rsid w:val="639B2DB3"/>
    <w:rsid w:val="656B62C3"/>
    <w:rsid w:val="6732696D"/>
    <w:rsid w:val="67527824"/>
    <w:rsid w:val="67DE4AEC"/>
    <w:rsid w:val="68545800"/>
    <w:rsid w:val="690264BF"/>
    <w:rsid w:val="69426B66"/>
    <w:rsid w:val="6A200B44"/>
    <w:rsid w:val="6AA67D9D"/>
    <w:rsid w:val="6FBC64C1"/>
    <w:rsid w:val="70640DA5"/>
    <w:rsid w:val="70673B2B"/>
    <w:rsid w:val="70F47FA6"/>
    <w:rsid w:val="71AE0EB2"/>
    <w:rsid w:val="71EF114A"/>
    <w:rsid w:val="732636C4"/>
    <w:rsid w:val="73C477CD"/>
    <w:rsid w:val="76647753"/>
    <w:rsid w:val="766E3CC1"/>
    <w:rsid w:val="77223226"/>
    <w:rsid w:val="772C66CD"/>
    <w:rsid w:val="78C134D4"/>
    <w:rsid w:val="791533CB"/>
    <w:rsid w:val="79C243E1"/>
    <w:rsid w:val="79E01293"/>
    <w:rsid w:val="7AB53BB0"/>
    <w:rsid w:val="7ABC112D"/>
    <w:rsid w:val="7C4760F1"/>
    <w:rsid w:val="7C912504"/>
    <w:rsid w:val="7CFB35B9"/>
    <w:rsid w:val="7F740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99"/>
    <w:rPr>
      <w:rFonts w:ascii="宋体"/>
      <w:sz w:val="18"/>
      <w:szCs w:val="18"/>
    </w:rPr>
  </w:style>
  <w:style w:type="paragraph" w:styleId="5">
    <w:name w:val="annotation text"/>
    <w:basedOn w:val="1"/>
    <w:link w:val="25"/>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20"/>
    <w:unhideWhenUsed/>
    <w:qFormat/>
    <w:uiPriority w:val="0"/>
    <w:pPr>
      <w:tabs>
        <w:tab w:val="center" w:pos="4153"/>
        <w:tab w:val="right" w:pos="8306"/>
      </w:tabs>
      <w:snapToGrid w:val="0"/>
      <w:jc w:val="left"/>
    </w:pPr>
    <w:rPr>
      <w:rFonts w:ascii="Calibri" w:hAnsi="Calibri"/>
      <w:sz w:val="18"/>
      <w:szCs w:val="18"/>
    </w:rPr>
  </w:style>
  <w:style w:type="paragraph" w:styleId="8">
    <w:name w:val="header"/>
    <w:basedOn w:val="1"/>
    <w:link w:val="19"/>
    <w:autoRedefine/>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footnote text"/>
    <w:basedOn w:val="1"/>
    <w:link w:val="22"/>
    <w:unhideWhenUsed/>
    <w:qFormat/>
    <w:uiPriority w:val="0"/>
    <w:pPr>
      <w:snapToGrid w:val="0"/>
      <w:jc w:val="left"/>
    </w:pPr>
    <w:rPr>
      <w:sz w:val="18"/>
      <w:szCs w:val="18"/>
    </w:rPr>
  </w:style>
  <w:style w:type="paragraph" w:styleId="10">
    <w:name w:val="Body Text Indent 3"/>
    <w:basedOn w:val="1"/>
    <w:link w:val="21"/>
    <w:qFormat/>
    <w:uiPriority w:val="0"/>
    <w:pPr>
      <w:ind w:firstLine="560" w:firstLineChars="200"/>
    </w:pPr>
    <w:rPr>
      <w:color w:val="000000"/>
      <w:sz w:val="28"/>
    </w:rPr>
  </w:style>
  <w:style w:type="paragraph" w:styleId="11">
    <w:name w:val="annotation subject"/>
    <w:basedOn w:val="5"/>
    <w:next w:val="5"/>
    <w:link w:val="26"/>
    <w:semiHidden/>
    <w:unhideWhenUsed/>
    <w:qFormat/>
    <w:uiPriority w:val="99"/>
    <w:rPr>
      <w:b/>
      <w:bCs/>
    </w:rPr>
  </w:style>
  <w:style w:type="table" w:styleId="13">
    <w:name w:val="Table Grid"/>
    <w:basedOn w:val="1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styleId="17">
    <w:name w:val="annotation reference"/>
    <w:basedOn w:val="14"/>
    <w:autoRedefine/>
    <w:semiHidden/>
    <w:unhideWhenUsed/>
    <w:qFormat/>
    <w:uiPriority w:val="99"/>
    <w:rPr>
      <w:sz w:val="21"/>
      <w:szCs w:val="21"/>
    </w:rPr>
  </w:style>
  <w:style w:type="character" w:styleId="18">
    <w:name w:val="footnote reference"/>
    <w:basedOn w:val="14"/>
    <w:semiHidden/>
    <w:unhideWhenUsed/>
    <w:qFormat/>
    <w:uiPriority w:val="99"/>
    <w:rPr>
      <w:vertAlign w:val="superscript"/>
    </w:rPr>
  </w:style>
  <w:style w:type="character" w:customStyle="1" w:styleId="19">
    <w:name w:val="页眉 Char"/>
    <w:basedOn w:val="14"/>
    <w:link w:val="8"/>
    <w:autoRedefine/>
    <w:semiHidden/>
    <w:qFormat/>
    <w:uiPriority w:val="99"/>
    <w:rPr>
      <w:sz w:val="18"/>
      <w:szCs w:val="18"/>
    </w:rPr>
  </w:style>
  <w:style w:type="character" w:customStyle="1" w:styleId="20">
    <w:name w:val="页脚 Char"/>
    <w:basedOn w:val="14"/>
    <w:link w:val="7"/>
    <w:semiHidden/>
    <w:qFormat/>
    <w:uiPriority w:val="99"/>
    <w:rPr>
      <w:sz w:val="18"/>
      <w:szCs w:val="18"/>
    </w:rPr>
  </w:style>
  <w:style w:type="character" w:customStyle="1" w:styleId="21">
    <w:name w:val="正文文本缩进 3 Char"/>
    <w:basedOn w:val="14"/>
    <w:link w:val="10"/>
    <w:qFormat/>
    <w:uiPriority w:val="0"/>
    <w:rPr>
      <w:rFonts w:ascii="Times New Roman" w:hAnsi="Times New Roman" w:eastAsia="宋体" w:cs="Times New Roman"/>
      <w:color w:val="000000"/>
      <w:sz w:val="28"/>
      <w:szCs w:val="24"/>
    </w:rPr>
  </w:style>
  <w:style w:type="character" w:customStyle="1" w:styleId="22">
    <w:name w:val="脚注文本 Char"/>
    <w:basedOn w:val="14"/>
    <w:link w:val="9"/>
    <w:qFormat/>
    <w:uiPriority w:val="0"/>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批注框文本 Char"/>
    <w:basedOn w:val="14"/>
    <w:link w:val="6"/>
    <w:semiHidden/>
    <w:qFormat/>
    <w:uiPriority w:val="99"/>
    <w:rPr>
      <w:rFonts w:ascii="Times New Roman" w:hAnsi="Times New Roman" w:eastAsia="宋体" w:cs="Times New Roman"/>
      <w:sz w:val="18"/>
      <w:szCs w:val="18"/>
    </w:rPr>
  </w:style>
  <w:style w:type="character" w:customStyle="1" w:styleId="25">
    <w:name w:val="批注文字 Char"/>
    <w:basedOn w:val="14"/>
    <w:link w:val="5"/>
    <w:autoRedefine/>
    <w:semiHidden/>
    <w:qFormat/>
    <w:uiPriority w:val="99"/>
    <w:rPr>
      <w:rFonts w:ascii="Times New Roman" w:hAnsi="Times New Roman" w:eastAsia="宋体" w:cs="Times New Roman"/>
      <w:sz w:val="24"/>
      <w:szCs w:val="24"/>
    </w:rPr>
  </w:style>
  <w:style w:type="character" w:customStyle="1" w:styleId="26">
    <w:name w:val="批注主题 Char"/>
    <w:basedOn w:val="25"/>
    <w:link w:val="11"/>
    <w:semiHidden/>
    <w:qFormat/>
    <w:uiPriority w:val="99"/>
    <w:rPr>
      <w:rFonts w:ascii="Times New Roman" w:hAnsi="Times New Roman" w:eastAsia="宋体" w:cs="Times New Roman"/>
      <w:b/>
      <w:bCs/>
      <w:sz w:val="24"/>
      <w:szCs w:val="24"/>
    </w:rPr>
  </w:style>
  <w:style w:type="paragraph" w:customStyle="1" w:styleId="27">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28">
    <w:name w:val="Char Char Char Char Char Char Char"/>
    <w:basedOn w:val="1"/>
    <w:semiHidden/>
    <w:qFormat/>
    <w:uiPriority w:val="0"/>
    <w:rPr>
      <w:sz w:val="21"/>
    </w:rPr>
  </w:style>
  <w:style w:type="paragraph" w:customStyle="1" w:styleId="29">
    <w:name w:val="大标题"/>
    <w:basedOn w:val="1"/>
    <w:qFormat/>
    <w:uiPriority w:val="0"/>
    <w:pPr>
      <w:spacing w:line="560" w:lineRule="exact"/>
      <w:jc w:val="center"/>
    </w:pPr>
    <w:rPr>
      <w:rFonts w:ascii="黑体" w:eastAsia="黑体" w:cs="宋体"/>
      <w:sz w:val="36"/>
      <w:szCs w:val="20"/>
    </w:rPr>
  </w:style>
  <w:style w:type="paragraph" w:customStyle="1" w:styleId="30">
    <w:name w:val="样式 仿宋_GB2312 三号"/>
    <w:basedOn w:val="1"/>
    <w:qFormat/>
    <w:uiPriority w:val="0"/>
    <w:pPr>
      <w:ind w:firstLine="200" w:firstLineChars="200"/>
    </w:pPr>
    <w:rPr>
      <w:rFonts w:ascii="仿宋_GB2312" w:eastAsia="仿宋_GB2312"/>
      <w:sz w:val="32"/>
      <w:szCs w:val="32"/>
    </w:rPr>
  </w:style>
  <w:style w:type="character" w:customStyle="1" w:styleId="31">
    <w:name w:val="文档结构图 Char"/>
    <w:basedOn w:val="14"/>
    <w:link w:val="4"/>
    <w:semiHidden/>
    <w:qFormat/>
    <w:uiPriority w:val="99"/>
    <w:rPr>
      <w:rFonts w:ascii="宋体" w:hAnsi="Times New Roman"/>
      <w:kern w:val="2"/>
      <w:sz w:val="18"/>
      <w:szCs w:val="18"/>
    </w:rPr>
  </w:style>
  <w:style w:type="paragraph" w:customStyle="1" w:styleId="32">
    <w:name w:val="样式 样式 仿宋_GB2312 + Times New Roman 首行缩进:  2 字符"/>
    <w:basedOn w:val="33"/>
    <w:autoRedefine/>
    <w:qFormat/>
    <w:uiPriority w:val="0"/>
    <w:pPr>
      <w:ind w:firstLine="640"/>
    </w:pPr>
    <w:rPr>
      <w:rFonts w:ascii="Times New Roman" w:cs="宋体"/>
      <w:szCs w:val="20"/>
    </w:rPr>
  </w:style>
  <w:style w:type="paragraph" w:customStyle="1" w:styleId="33">
    <w:name w:val="样式 仿宋_GB2312"/>
    <w:basedOn w:val="1"/>
    <w:qFormat/>
    <w:uiPriority w:val="0"/>
    <w:pPr>
      <w:ind w:firstLine="200" w:firstLineChars="200"/>
    </w:pPr>
    <w:rPr>
      <w:rFonts w:ascii="仿宋_GB2312" w:eastAsia="仿宋_GB2312"/>
      <w:sz w:val="32"/>
    </w:rPr>
  </w:style>
  <w:style w:type="character" w:customStyle="1" w:styleId="34">
    <w:name w:val="04.公文2级标题 字符"/>
    <w:basedOn w:val="35"/>
    <w:link w:val="36"/>
    <w:qFormat/>
    <w:uiPriority w:val="0"/>
    <w:rPr>
      <w:rFonts w:ascii="楷体_GB2312" w:eastAsia="方正楷体_GBK" w:hAnsiTheme="majorHAnsi" w:cstheme="majorBidi"/>
      <w:kern w:val="2"/>
      <w:sz w:val="32"/>
      <w:szCs w:val="32"/>
      <w:lang w:val="en-US" w:eastAsia="zh-CN" w:bidi="ar-SA"/>
    </w:rPr>
  </w:style>
  <w:style w:type="character" w:customStyle="1" w:styleId="35">
    <w:name w:val="标题 2 字符"/>
    <w:basedOn w:val="14"/>
    <w:link w:val="3"/>
    <w:autoRedefine/>
    <w:semiHidden/>
    <w:qFormat/>
    <w:uiPriority w:val="9"/>
    <w:rPr>
      <w:rFonts w:asciiTheme="majorHAnsi" w:hAnsiTheme="majorHAnsi" w:eastAsiaTheme="majorEastAsia" w:cstheme="majorBidi"/>
      <w:b/>
      <w:bCs/>
      <w:sz w:val="32"/>
      <w:szCs w:val="32"/>
    </w:rPr>
  </w:style>
  <w:style w:type="paragraph" w:customStyle="1" w:styleId="36">
    <w:name w:val="04.公文2级标题"/>
    <w:next w:val="37"/>
    <w:link w:val="34"/>
    <w:qFormat/>
    <w:uiPriority w:val="0"/>
    <w:pPr>
      <w:spacing w:line="560" w:lineRule="exact"/>
      <w:ind w:firstLine="640" w:firstLineChars="200"/>
      <w:outlineLvl w:val="2"/>
    </w:pPr>
    <w:rPr>
      <w:rFonts w:ascii="楷体_GB2312" w:eastAsia="方正楷体_GBK" w:hAnsiTheme="majorHAnsi" w:cstheme="majorBidi"/>
      <w:bCs/>
      <w:kern w:val="2"/>
      <w:sz w:val="32"/>
      <w:szCs w:val="32"/>
      <w:lang w:val="en-US" w:eastAsia="zh-CN" w:bidi="ar-SA"/>
    </w:rPr>
  </w:style>
  <w:style w:type="paragraph" w:customStyle="1" w:styleId="37">
    <w:name w:val="07.公文正文"/>
    <w:qFormat/>
    <w:uiPriority w:val="0"/>
    <w:pPr>
      <w:spacing w:line="560" w:lineRule="exact"/>
      <w:ind w:firstLine="640" w:firstLineChars="200"/>
      <w:jc w:val="both"/>
    </w:pPr>
    <w:rPr>
      <w:rFonts w:ascii="仿宋_GB2312" w:eastAsia="方正仿宋_GBK" w:hAnsiTheme="majorHAnsi" w:cstheme="majorBidi"/>
      <w:bCs/>
      <w:kern w:val="2"/>
      <w:sz w:val="32"/>
      <w:szCs w:val="28"/>
      <w:lang w:val="en-US" w:eastAsia="zh-CN" w:bidi="ar-SA"/>
    </w:rPr>
  </w:style>
  <w:style w:type="character" w:customStyle="1" w:styleId="38">
    <w:name w:val="font31"/>
    <w:basedOn w:val="14"/>
    <w:autoRedefine/>
    <w:qFormat/>
    <w:uiPriority w:val="0"/>
    <w:rPr>
      <w:rFonts w:hint="eastAsia" w:ascii="宋体" w:hAnsi="宋体" w:eastAsia="宋体" w:cs="宋体"/>
      <w:color w:val="000000"/>
      <w:sz w:val="21"/>
      <w:szCs w:val="21"/>
      <w:u w:val="none"/>
    </w:rPr>
  </w:style>
  <w:style w:type="character" w:customStyle="1" w:styleId="39">
    <w:name w:val="font1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C79F5-8046-4C49-8203-64FF6386B7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5524</Words>
  <Characters>7001</Characters>
  <Lines>41</Lines>
  <Paragraphs>11</Paragraphs>
  <TotalTime>0</TotalTime>
  <ScaleCrop>false</ScaleCrop>
  <LinksUpToDate>false</LinksUpToDate>
  <CharactersWithSpaces>7372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2020-06-05T07:06:00Z</dcterms:created>
  <dc:creator>微软正版用户</dc:creator>
  <cp:lastModifiedBy>shn</cp:lastModifiedBy>
  <cp:lastPrinted>2022-07-08T10:22:00Z</cp:lastPrinted>
  <dcterms:modified xsi:type="dcterms:W3CDTF">2024-05-07T07:06:16Z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C894B0ECCE674289B3B64364DC05801D_13</vt:lpwstr>
  </property>
</Properties>
</file>