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outlineLvl w:val="0"/>
        <w:rPr>
          <w:rFonts w:ascii="微软雅黑" w:hAnsi="微软雅黑" w:eastAsia="微软雅黑" w:cs="宋体"/>
          <w:b/>
          <w:bCs/>
          <w:color w:val="000000"/>
          <w:kern w:val="36"/>
          <w:sz w:val="30"/>
          <w:szCs w:val="30"/>
        </w:rPr>
      </w:pPr>
      <w:r>
        <w:rPr>
          <w:rFonts w:hint="eastAsia" w:ascii="微软雅黑" w:hAnsi="微软雅黑" w:eastAsia="微软雅黑" w:cs="宋体"/>
          <w:b/>
          <w:bCs/>
          <w:color w:val="000000"/>
          <w:kern w:val="36"/>
          <w:sz w:val="30"/>
          <w:szCs w:val="30"/>
        </w:rPr>
        <w:t>财政部 国家自然科学基金委员会关于印发《</w:t>
      </w:r>
      <w:bookmarkStart w:id="0" w:name="_GoBack"/>
      <w:r>
        <w:rPr>
          <w:rFonts w:hint="eastAsia" w:ascii="微软雅黑" w:hAnsi="微软雅黑" w:eastAsia="微软雅黑" w:cs="宋体"/>
          <w:b/>
          <w:bCs/>
          <w:color w:val="000000"/>
          <w:kern w:val="36"/>
          <w:sz w:val="30"/>
          <w:szCs w:val="30"/>
        </w:rPr>
        <w:t>国家自然科学基金资助项目资金管理办法</w:t>
      </w:r>
      <w:bookmarkEnd w:id="0"/>
      <w:r>
        <w:rPr>
          <w:rFonts w:hint="eastAsia" w:ascii="微软雅黑" w:hAnsi="微软雅黑" w:eastAsia="微软雅黑" w:cs="宋体"/>
          <w:b/>
          <w:bCs/>
          <w:color w:val="000000"/>
          <w:kern w:val="36"/>
          <w:sz w:val="30"/>
          <w:szCs w:val="30"/>
        </w:rPr>
        <w:t>》的通知</w:t>
      </w:r>
    </w:p>
    <w:p>
      <w:pPr>
        <w:widowControl/>
        <w:shd w:val="clear" w:color="auto" w:fill="FFFFFF"/>
        <w:spacing w:line="480" w:lineRule="atLeast"/>
        <w:rPr>
          <w:rFonts w:hint="eastAsia" w:ascii="宋体" w:hAnsi="宋体" w:eastAsia="宋体" w:cs="宋体"/>
          <w:kern w:val="0"/>
          <w:sz w:val="24"/>
          <w:szCs w:val="24"/>
        </w:rPr>
      </w:pPr>
    </w:p>
    <w:p>
      <w:pPr>
        <w:widowControl/>
        <w:shd w:val="clear" w:color="auto" w:fill="FFFFFF"/>
        <w:spacing w:line="488" w:lineRule="atLeast"/>
        <w:jc w:val="center"/>
        <w:rPr>
          <w:rFonts w:hint="eastAsia" w:ascii="宋体" w:hAnsi="宋体" w:eastAsia="宋体" w:cs="宋体"/>
          <w:kern w:val="0"/>
          <w:sz w:val="24"/>
          <w:szCs w:val="24"/>
        </w:rPr>
      </w:pPr>
      <w:r>
        <w:rPr>
          <w:rFonts w:hint="eastAsia" w:ascii="微软雅黑" w:hAnsi="微软雅黑" w:eastAsia="微软雅黑" w:cs="宋体"/>
          <w:color w:val="000000"/>
          <w:kern w:val="0"/>
          <w:sz w:val="20"/>
          <w:szCs w:val="20"/>
        </w:rPr>
        <w:t>财教〔2021〕177号</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有关单位：</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根据党中央、国务院关于科研经费管理改革有关要求和《国务院办公厅关于改革完善中央财政科研经费管理的若干意见》（国办发〔2021〕32号），我们对《财政部 国家自然科学基金委员会关于印发&lt;国家自然科学基金资助项目资金管理办法&gt;的通知》(财教〔2015〕15号)进行了修订。现将修订后的《国家自然科学基金资助项目资金管理办法》印发你们，请遵照执行。</w:t>
      </w:r>
    </w:p>
    <w:p>
      <w:pPr>
        <w:widowControl/>
        <w:shd w:val="clear" w:color="auto" w:fill="FFFFFF"/>
        <w:spacing w:line="488" w:lineRule="atLeast"/>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p>
      <w:pPr>
        <w:widowControl/>
        <w:shd w:val="clear" w:color="auto" w:fill="FFFFFF"/>
        <w:spacing w:line="488" w:lineRule="atLeast"/>
        <w:jc w:val="righ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财政部 国家自然科学基金委员会</w:t>
      </w:r>
    </w:p>
    <w:p>
      <w:pPr>
        <w:widowControl/>
        <w:shd w:val="clear" w:color="auto" w:fill="FFFFFF"/>
        <w:spacing w:line="488" w:lineRule="atLeast"/>
        <w:jc w:val="righ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2021年9月30日</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附件</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p>
      <w:pPr>
        <w:widowControl/>
        <w:shd w:val="clear" w:color="auto" w:fill="FFFFFF"/>
        <w:spacing w:line="488" w:lineRule="atLeast"/>
        <w:jc w:val="center"/>
        <w:rPr>
          <w:rFonts w:hint="eastAsia" w:ascii="微软雅黑" w:hAnsi="微软雅黑" w:eastAsia="微软雅黑" w:cs="宋体"/>
          <w:color w:val="000000"/>
          <w:kern w:val="0"/>
          <w:sz w:val="20"/>
          <w:szCs w:val="20"/>
        </w:rPr>
      </w:pPr>
      <w:r>
        <w:rPr>
          <w:rFonts w:hint="eastAsia" w:ascii="微软雅黑" w:hAnsi="微软雅黑" w:eastAsia="微软雅黑" w:cs="宋体"/>
          <w:b/>
          <w:bCs/>
          <w:color w:val="000000"/>
          <w:kern w:val="0"/>
          <w:sz w:val="20"/>
          <w:szCs w:val="20"/>
        </w:rPr>
        <w:t>国家自然科学基金资助项目资金管理办法</w:t>
      </w:r>
    </w:p>
    <w:p>
      <w:pPr>
        <w:widowControl/>
        <w:shd w:val="clear" w:color="auto" w:fill="FFFFFF"/>
        <w:spacing w:line="488" w:lineRule="atLeast"/>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p>
      <w:pPr>
        <w:widowControl/>
        <w:shd w:val="clear" w:color="auto" w:fill="FFFFFF"/>
        <w:spacing w:line="488" w:lineRule="atLeast"/>
        <w:jc w:val="center"/>
        <w:rPr>
          <w:rFonts w:hint="eastAsia" w:ascii="微软雅黑" w:hAnsi="微软雅黑" w:eastAsia="微软雅黑" w:cs="宋体"/>
          <w:color w:val="000000"/>
          <w:kern w:val="0"/>
          <w:sz w:val="20"/>
          <w:szCs w:val="20"/>
        </w:rPr>
      </w:pPr>
      <w:r>
        <w:rPr>
          <w:rFonts w:hint="eastAsia" w:ascii="微软雅黑" w:hAnsi="微软雅黑" w:eastAsia="微软雅黑" w:cs="宋体"/>
          <w:b/>
          <w:bCs/>
          <w:color w:val="000000"/>
          <w:kern w:val="0"/>
          <w:sz w:val="20"/>
          <w:szCs w:val="20"/>
        </w:rPr>
        <w:t>第一章  总 则</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第一条  为规范国家自然科学基金资助项目（以下简称项目）资金管理和使用，提高资金使用效益，根据《国家自然科学基金条例》、《中共中央办公厅国务院办公厅印发&lt;关于进一步完善中央财政科研项目资金管理等政策的若干意见&gt;的通知》、《国务院关于优化科研管理提升科研绩效若干措施的通知》（国发〔2018〕25号）、《国务院办公厅关于改革完善中央财政科研经费管理的若干意见》（国办发〔2021〕32号）等要求，以及国家有关财经法规和财务管理制度，结合国家自然科学基金（以下简称自然科学基金）管理特点，制定本办法。</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第二条  本办法所称项目资金，是指自然科学基金用于资助科学技术人员开展基础研究和科学前沿探索，支持人才和团队建设的专项资金。</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第三条  财政部根据国家科技发展规划，结合自然科学基金资金需求和国家财力可能，将项目资金列入中央财政预算，并负责宏观管理和监督。</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第四条  国家自然科学基金委员会（以下简称自然科学基金委）依法负责项目的立项和审批，并对项目资金进行具体管理和监督。</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第五条  依托单位是项目资金管理的责任主体，应当建立健全“统一领导、分级管理、责任到人”的项目资金管理体制和制度，完善内部控制、绩效管理和监督约束机制，合理确定科研、财务、人事、资产、审计、监察等部门的责任和权限，加强对项目资金的管理和监督。</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依托单位应当落实项目承诺的自筹资金及其他配套条件，对项目组织实施提供条件保障。</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第六条  项目负责人是项目资金使用的直接责任人，对资金使用的合规性、合理性、真实性和相关性负责。</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第七条  根据预算管理方式不同，自然科学基金项目资金管理分为包干制和预算制。</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p>
      <w:pPr>
        <w:widowControl/>
        <w:shd w:val="clear" w:color="auto" w:fill="FFFFFF"/>
        <w:spacing w:line="488" w:lineRule="atLeast"/>
        <w:jc w:val="center"/>
        <w:rPr>
          <w:rFonts w:hint="eastAsia" w:ascii="微软雅黑" w:hAnsi="微软雅黑" w:eastAsia="微软雅黑" w:cs="宋体"/>
          <w:color w:val="000000"/>
          <w:kern w:val="0"/>
          <w:sz w:val="20"/>
          <w:szCs w:val="20"/>
        </w:rPr>
      </w:pPr>
      <w:r>
        <w:rPr>
          <w:rFonts w:hint="eastAsia" w:ascii="微软雅黑" w:hAnsi="微软雅黑" w:eastAsia="微软雅黑" w:cs="宋体"/>
          <w:b/>
          <w:bCs/>
          <w:color w:val="000000"/>
          <w:kern w:val="0"/>
          <w:sz w:val="20"/>
          <w:szCs w:val="20"/>
        </w:rPr>
        <w:t>第二章  项目资金开支范围</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第八条  项目资金支出是指与项目研究工作相关的、由项目资金支付的各项费用支出。项目资金由直接费用和间接费用组成。</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第九条  直接费用是指在项目实施过程中发生的与之直接相关的费用，主要包括：</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一）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二）业务费：是指项目实施过程中消耗的各种材料、辅助材料等低值易耗品的采购、运输、装卸、整理等费用，发生的测试化验加工、燃料动力、出版/文献/信息传播/知识产权事务、会议/差旅/国际合作交流等费用，以及其他相关支出。</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（三）劳务费：是指在项目实施过程中支付给参与项目研究的研究生、博士后、访问学者以及项目聘用的研究人员、科研辅助人员等的劳务性费用，以及支付给临时聘请的咨询专家的费用等。</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项目聘用人员的劳务费开支标准，参照当地科学研究和技术服务业从业人员平均工资水平，根据其在项目研究中承担的工作任务确定，其由单位缴纳的社会保险补助、住房公积金等纳入劳务费科目列支。</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支付给临时聘请的咨询专家的费用，不得支付给参与本项目及所属课题研究和管理的相关人员，其管理按照国家有关规定执行。</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第十条  间接费用是指依托单位在组织实施项目过程中发生的无法在直接费用中列支的相关费用。主要包括：依托单位为项目研究提供的房屋占用，日常水、电、气、暖等消耗，有关管理费用的补助支出，以及激励科研人员的绩效支出等。</w:t>
      </w:r>
    </w:p>
    <w:p>
      <w:pPr>
        <w:widowControl/>
        <w:shd w:val="clear" w:color="auto" w:fill="FFFFFF"/>
        <w:spacing w:line="488" w:lineRule="atLeast"/>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p>
      <w:pPr>
        <w:widowControl/>
        <w:shd w:val="clear" w:color="auto" w:fill="FFFFFF"/>
        <w:spacing w:line="488" w:lineRule="atLeast"/>
        <w:jc w:val="center"/>
        <w:rPr>
          <w:rFonts w:hint="eastAsia" w:ascii="微软雅黑" w:hAnsi="微软雅黑" w:eastAsia="微软雅黑" w:cs="宋体"/>
          <w:color w:val="000000"/>
          <w:kern w:val="0"/>
          <w:sz w:val="20"/>
          <w:szCs w:val="20"/>
        </w:rPr>
      </w:pPr>
      <w:r>
        <w:rPr>
          <w:rFonts w:hint="eastAsia" w:ascii="微软雅黑" w:hAnsi="微软雅黑" w:eastAsia="微软雅黑" w:cs="宋体"/>
          <w:b/>
          <w:bCs/>
          <w:color w:val="000000"/>
          <w:kern w:val="0"/>
          <w:sz w:val="20"/>
          <w:szCs w:val="20"/>
        </w:rPr>
        <w:t>第三章  包干制项目资金申请与审批</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第十一条  包干制项目申请人应当本着科学、合理、规范、有效的原则申请资助额度，无需编制项目预算。</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多个单位共同承担一个项目的，由项目申请人汇总申请资助额度。</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第十二条  自然科学基金委组织专家对包干制项目和申请资助额度进行评审,根据专家评审意见并参考同类项目平均资助强度确定项目资助额度。</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第十三条  包干制项目资金由项目负责人自主决定使用，按照本办法第九条规定的开支范围列支，无需履行调剂程序。</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对于依托单位为项目研究提供的房屋占用，日常水、电、气、暖等消耗，有关管理费用的补助支出，由依托单位根据实际管理需要，在充分征求项目负责人意见基础上合理确定。</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对于激励科研人员的绩效支出，由项目负责人根据实际科研需要和相关薪酬标准自主确定，依托单位按照工资制度进行管理。</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第十四条  项目资金应当纳入依托单位财务统一管理，单独核算，专款专用。</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第十五条  依托单位应当制定项目经费包干制管理规定，管理规定应当包括经费使用范围和标准、各方责任、违规惩戒措施等内容，报自然科学基金委备案。</w:t>
      </w:r>
    </w:p>
    <w:p>
      <w:pPr>
        <w:widowControl/>
        <w:shd w:val="clear" w:color="auto" w:fill="FFFFFF"/>
        <w:spacing w:line="488" w:lineRule="atLeast"/>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p>
      <w:pPr>
        <w:widowControl/>
        <w:shd w:val="clear" w:color="auto" w:fill="FFFFFF"/>
        <w:spacing w:line="488" w:lineRule="atLeast"/>
        <w:jc w:val="center"/>
        <w:rPr>
          <w:rFonts w:hint="eastAsia" w:ascii="微软雅黑" w:hAnsi="微软雅黑" w:eastAsia="微软雅黑" w:cs="宋体"/>
          <w:color w:val="000000"/>
          <w:kern w:val="0"/>
          <w:sz w:val="20"/>
          <w:szCs w:val="20"/>
        </w:rPr>
      </w:pPr>
      <w:r>
        <w:rPr>
          <w:rFonts w:hint="eastAsia" w:ascii="微软雅黑" w:hAnsi="微软雅黑" w:eastAsia="微软雅黑" w:cs="宋体"/>
          <w:b/>
          <w:bCs/>
          <w:color w:val="000000"/>
          <w:kern w:val="0"/>
          <w:sz w:val="20"/>
          <w:szCs w:val="20"/>
        </w:rPr>
        <w:t>第四章  预算制项目资金申请与审批</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第十六条  预算制项目负责人（或申请人）应当根据政策相符性、目标相关性和经济合理性原则，编制项目收入预算和支出预算。</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收入预算应当按照从各种不同渠道获得的资金总额填列。包括自然科学基金资助的资金以及从依托单位和其他渠道获得的资金。</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支出预算应当根据项目需求，按照资金开支范围编列。直接费用中除50万元以上的设备费外，其他费用只提供基本测算说明，不需要提供明细。</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第十七条  对于预算制项目，依托单位应当组织其科研和财务管理部门对项目预算进行审核。</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有多个单位共同承担一个项目的，依托单位的项目负责人（或申请人）和合作研究单位参与者应当根据各自承担的研究任务分别编报项目预算，经所在单位科研、财务部门审核并签署意见后，由项目负责人（或申请人）汇总编制。</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第十八条  预算制项目申请人申请自然科学基金项目，应当按照本办法中对于直接费用的规定编制项目预算，经依托单位审核后提交自然科学基金委。</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第十九条  自然科学基金委组织专家或者择优遴选第三方对预算制项目进行项目评审并同步开展预算评审,根据项目实际需求确定预算。评审专家应满足相关回避要求。</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预算评审应当按照规范的程序和要求，坚持独立、客观、公正、科学的原则，对项目申报预算的政策相符性、目标相关性和经济合理性进行评审。不得将预算编制细致程度作为评审预算的因素，不得简单按比例核减预算。</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第二十条  依托单位应当组织预算制项目负责人根据批准的项目资助额度，按规定调整项目预算，并在收到资助通知之日起20日内完成审核，报自然科学基金委核准。</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第二十一条  预算制项目的直接费用应当纳入依托单位财务统一管理，单独核算，专款专用。</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预算制项目的间接费用由依托单位统筹安排使用。依托单位应当建立健全间接费用的内部管理办法，公开透明、合规合理使用间接费用，处理好分摊间接成本和对科研人员激励的关系。绩效支出安排应当与科研人员在项目工作中的实际贡献挂钩。依托单位可将间接费用全部用于绩效支出，并向创新绩效突出的团队和个人倾斜。依托单位不得在间接费用以外，再以任何名义在项目资金中重复提取、列支相关费用。</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第二十二条  预算制项目的间接费用一般按照不超过项目直接费用扣除设备购置费后的一定比例核定，并实行总额控制，具体比例如下：</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（一）500万元及以下部分为30%；</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（二）超过500万元至1000万元的部分为25%；</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（三）超过1000万元的部分为20%。</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其中，对于数学等纯理论基础研究的预算制项目，间接费用一般按照不超过项目直接费用扣除设备购置费后的一定比例核定，并实行总额控制，具体比例如下：</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（一）500万元及以下部分为60%；</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（二）超过500万元至1000万元的部分为50%；</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（三）超过1000万元的部分为40%。</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第二十三条  预算制项目实施过程中，项目预算有以下情况确需调剂的，应当按相关程序报自然科学基金委审批。</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（一）由于研究内容或者研究计划作出重大调整等原因需要对预算总额进行调剂的；</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（二）同一项目课题之间资金需要调剂的。</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第二十四条  预算制项目实施过程中，在项目预算额度不变的情况下，预算确需调剂的，按以下规定予以调剂：</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（一）设备费预算如需调剂，由项目负责人根据科研活动的实际需要提出申请，报依托单位审批。依托单位应当统筹考虑现有设备配置情况、科研项目实际需求等，及时办理调剂手续。</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（二）劳务费、业务费预算如需调剂，由项目负责人根据科研活动实际需要自主安排。</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（三）项目间接费用预算总额不得调增，依托单位与项目负责人协商一致后可调减用于直接费用。</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第二十五条  对于需开展中期项目检查的预算制项目，可由自然科学基金委组织专家同步对资金的使用进行检查或评估。</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p>
      <w:pPr>
        <w:widowControl/>
        <w:shd w:val="clear" w:color="auto" w:fill="FFFFFF"/>
        <w:spacing w:line="488" w:lineRule="atLeast"/>
        <w:jc w:val="center"/>
        <w:rPr>
          <w:rFonts w:hint="eastAsia" w:ascii="微软雅黑" w:hAnsi="微软雅黑" w:eastAsia="微软雅黑" w:cs="宋体"/>
          <w:color w:val="000000"/>
          <w:kern w:val="0"/>
          <w:sz w:val="20"/>
          <w:szCs w:val="20"/>
        </w:rPr>
      </w:pPr>
      <w:r>
        <w:rPr>
          <w:rFonts w:hint="eastAsia" w:ascii="微软雅黑" w:hAnsi="微软雅黑" w:eastAsia="微软雅黑" w:cs="宋体"/>
          <w:b/>
          <w:bCs/>
          <w:color w:val="000000"/>
          <w:kern w:val="0"/>
          <w:sz w:val="20"/>
          <w:szCs w:val="20"/>
        </w:rPr>
        <w:t>第五章  预算执行与决算</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第二十六条  自然科学基金委应当按照国库集中支付制度规定，根据不同类型科研项目特点、研究进度、资金需求等，合理制定经费拨付计划并在资助项目计划书签订后30日内，将经费按计划拨付至依托单位，切实保障科研活动需要。</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有多个单位共同承担一个项目的，依托单位应当及时按资助项目计划书和合同转拨合作研究单位资金，并加强对转拨资金的监督管理。</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项目负责人应当结合科研活动需要，科学合理安排项目资金支出进度。依托单位应当关注项目资金执行进度，有效提高资金使用效益。</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第二十七条  项目资金管理使用不得存在以下行为：</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（一）编报虚假预算；</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（二）未对项目资金进行单独核算；</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（三）列支与本项目任务无关的支出；</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（四）未按规定执行和调剂预算、违反规定转拨项目资金；</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（五）虚假承诺其他来源资金；</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（六）通过虚假合同、虚假票据、虚构事项、虚报人员等弄虚作假，转移、套取、报销项目资金；</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（七）截留、挤占、挪用项目资金；</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（八）设置账外账、随意调账变动支出、随意修改记账凭证、提供虚假财务会计资料等；</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（九）使用项目资金列支应当由个人负担的有关费用和支付各种罚款、捐款、赞助、投资、偿还债务等；</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（十）其他违反国家财经纪律的行为。</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第二十八条  项目资助期满后，项目负责人应当会同科研、财务、资产等管理部门及时清理账目与资产，如实编制项目决算。</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有多个单位共同承担一个项目的，依托单位的项目负责人和合作研究单位的参与者应当分别编报项目决算，经所在单位科研、财务管理部门审核并签署意见后，由依托单位项目负责人汇总编制。</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依托单位应当组织其科研、财务管理部门审核项目决算，并签署意见后报自然科学基金委。</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第二十九条  自然科学基金委准予结题的项目，结余资金留归依托单位使用。依托单位应当将结余资金统筹安排用于基础研究直接支出，优先考虑原项目团队科研需求，并加强结余资金管理，健全结余资金盘活机制，加快资金使用进度。</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自然科学基金委不予结题的项目，依托单位应当负责将结余资金在通知书下达后30日内按原渠道退回自然科学基金委。</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第三十条  项目实施过程中，因故终止执行的项目，依托单位应当负责将结余资金按原渠道退回自然科学基金委。</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因故被依法撤销的项目，依托单位应当负责将已拨付的资金全部按原渠道退回自然科学基金委。</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依托单位发生变更的项目，原依托单位应当及时向新依托单位转拨需转拨的项目资金。</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第三十一条  依托单位应当严格执行国家有关支出管理制度。对应当实行“公务卡”结算的支出，按照中央财政科研项目使用公务卡结算的有关规定执行。对于设备、大宗材料、测试化验加工、劳务、专家咨询等费用，原则上应当通过银行转账方式结算。</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第三十二条  在项目实施过程中，依托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对野外考察、心理测试等科研活动中无法取得发票或者财政性票据的，在确保真实性的前提下，可按实际发生额予以报销。</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第三十三条  依托单位应当优化和完善内部管理规定，简化科研仪器设备采购流程。对科研急需的设备和耗材采用特事特办、随到随办的采购机制，可以不进行招标投标程序。</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项目实施过程中，行政事业单位使用项目资金形成的固定资产属于国有资产，应当按照国家有关国有资产管理的规定执行。企业使用项目资金形成的固定资产，按照《企业财务通则》等相关规章制度执行。项目资金形成的知识产权等无形资产的管理，按照国家有关规定执行。使用项目资金形成的大型科学仪器设备、科学数据、自然科技资源等，按照规定开放共享。</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第三十四条  依托单位要切实强化法人责任，制定内部管理办法，落实项目预算调剂、间接费用统筹使用、劳务费管理、结余资金使用等管理权限。</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第三十五条  依托单位应当创新服务方式，让科研人员潜心从事科学研究。应当全面落实科研财务助理制度，确保每个项目配有相对固定的科研财务助理，为科研人员在预算编制、经费报销等方面提供专业化服务。科研财务助理所需人力成本费用（含社会保险补助、住房公积金），可由依托单位根据情况通过科研项目经费等渠道统筹解决。应当改进财务报销管理方式，充分利用信息化手段，建立符合科研实际需要的内部报销机制。</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p>
      <w:pPr>
        <w:widowControl/>
        <w:shd w:val="clear" w:color="auto" w:fill="FFFFFF"/>
        <w:spacing w:line="488" w:lineRule="atLeast"/>
        <w:jc w:val="center"/>
        <w:rPr>
          <w:rFonts w:hint="eastAsia" w:ascii="微软雅黑" w:hAnsi="微软雅黑" w:eastAsia="微软雅黑" w:cs="宋体"/>
          <w:color w:val="000000"/>
          <w:kern w:val="0"/>
          <w:sz w:val="20"/>
          <w:szCs w:val="20"/>
        </w:rPr>
      </w:pPr>
      <w:r>
        <w:rPr>
          <w:rFonts w:hint="eastAsia" w:ascii="微软雅黑" w:hAnsi="微软雅黑" w:eastAsia="微软雅黑" w:cs="宋体"/>
          <w:b/>
          <w:bCs/>
          <w:color w:val="000000"/>
          <w:kern w:val="0"/>
          <w:sz w:val="20"/>
          <w:szCs w:val="20"/>
        </w:rPr>
        <w:t>第六章  绩效管理与监督检查</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第三十六条  自然科学基金委应当建立项目资金绩效管理制度，对项目资金管理使用效益进行绩效评价。进一步强化绩效导向，加强分类绩效评价，对自由探索型、任务导向型等不同类型科研项目，健全差异化的绩效评价指标体系，强化绩效评价结果运用，将绩效评价结果作为项目调整、后续支持的重要依据。</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依托单位应当切实加强绩效管理，引导科研资源向优秀人才和团队倾斜，提高科研经费使用效益。</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第三十七条  财政部、自然科学基金委、审计署、相关主管部门、依托单位应当根据职责和分工，建立覆盖资金管理使用全过程的资金监督机制。加强审计监督、财会监督与日常监督的贯通协调，增强监督合力，加强信息共享，避免交叉重复。</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第三十八条  财政部按规定对自然科学基金项目资金管理和使用情况进行监督管理。</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第三十九条  审计署、自然科学基金委按规定对依托单位项目资金管理和使用情况进行监督检查。依托单位和项目负责人应当积极配合并提供有关资料。</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第四十条  相关主管部门应当督促所属依托单位加强内控制度和监督制约机制建设、落实项目资金管理责任，配合财政部、自然科学基金委开展监督检查和整改工作。</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第四十一条  依托单位应当按照本办法和国家相关财经法规及财务管理规定，完善内部控制和监督制约机制，动态监管资金使用并实时预警提醒，确保资金合理规范使用；加强支撑服务条件建设，提高对科研人员的服务水平，建立常态化的自查自纠机制，保证项目资金安全。</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第四十二条  项目资金管理建立承诺机制。依托单位应当承诺依法履行项目资金管理的职责。项目负责人应当承诺提供真实的项目信息，并认真遵守项目资金管理的有关规定。依托单位和项目负责人对违反承诺导致的后果承担相应责任。</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对依托单位和科研人员在项目资金管理使用过程中出现的失信情况，应当纳入信用记录管理，对严重失信行为实行追责和惩戒。</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第四十三条  项目资金管理建立信息公开机制。自然科学基金委应当及时公开非涉密项目预算安排情况，接受社会监督。</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依托单位应当在单位内部公开非涉密项目立项、主要研究人员、资金使用（重点是间接费用、外拨资金、结余资金使用等）、决算、大型仪器设备购置以及项目研究成果等情况，接受内部监督。</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第四十四条  任何单位和个人发现项目资金在使用和管理过程中有违规行为的，有权检举或者控告。</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第四十五条  财政部、自然科学基金委及其相关工作人员、评审专家在自然科学基金预算审核环节，自然科学基金委及其相关工作人员在项目立项及其资金分配等环节，存在违反规定安排资金或其他滥用职权、玩忽职守、徇私舞弊等违法违规行为的，依法责令改正，对负有责任的领导人员和直接责任人员依法给予处分；涉嫌犯罪的，依法移送有关机关处理。</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第四十六条  依托单位及其相关工作人员、项目负责人及其团队成员对于资金管理使用过程中，不按规定管理和使用项目资金、不按时编报项目决算、不按规定进行会计核算，存在截留、挪用、侵占项目资金等违法违规行为的，按照《中华人民共和国预算法》及其实施条例、《中华人民共和国会计法》、《国家自然科学基金条例》、《财政违法行为处罚处分条例》等国家有关规定追究相应责任。涉嫌犯罪的，依法移送有关机关处理。</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第四十七条  自然科学基金委对项目资金管理、监督和检查等过程中发现的问题以及收到的投诉举报依法开展调查，并依法严肃查处违规违纪行为。</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p>
      <w:pPr>
        <w:widowControl/>
        <w:shd w:val="clear" w:color="auto" w:fill="FFFFFF"/>
        <w:spacing w:line="488" w:lineRule="atLeast"/>
        <w:jc w:val="center"/>
        <w:rPr>
          <w:rFonts w:hint="eastAsia" w:ascii="微软雅黑" w:hAnsi="微软雅黑" w:eastAsia="微软雅黑" w:cs="宋体"/>
          <w:color w:val="000000"/>
          <w:kern w:val="0"/>
          <w:sz w:val="20"/>
          <w:szCs w:val="20"/>
        </w:rPr>
      </w:pPr>
      <w:r>
        <w:rPr>
          <w:rFonts w:hint="eastAsia" w:ascii="微软雅黑" w:hAnsi="微软雅黑" w:eastAsia="微软雅黑" w:cs="宋体"/>
          <w:b/>
          <w:bCs/>
          <w:color w:val="000000"/>
          <w:kern w:val="0"/>
          <w:sz w:val="20"/>
          <w:szCs w:val="20"/>
        </w:rPr>
        <w:t>第七章  附则</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第四十八条  本办法由财政部、自然科学基金委负责解释。</w:t>
      </w:r>
    </w:p>
    <w:p>
      <w:pPr>
        <w:widowControl/>
        <w:shd w:val="clear" w:color="auto" w:fill="FFFFFF"/>
        <w:spacing w:line="488" w:lineRule="atLeas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第四十九条  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196"/>
    <w:rsid w:val="00334C10"/>
    <w:rsid w:val="005044D4"/>
    <w:rsid w:val="00581A15"/>
    <w:rsid w:val="00AF4196"/>
    <w:rsid w:val="64824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uiPriority w:val="99"/>
    <w:rPr>
      <w:color w:val="0000FF"/>
      <w:u w:val="single"/>
    </w:rPr>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 w:type="character" w:customStyle="1" w:styleId="12">
    <w:name w:val="标题 1 Char"/>
    <w:basedOn w:val="7"/>
    <w:link w:val="2"/>
    <w:uiPriority w:val="9"/>
    <w:rPr>
      <w:rFonts w:ascii="宋体" w:hAnsi="宋体" w:eastAsia="宋体" w:cs="宋体"/>
      <w:b/>
      <w:bCs/>
      <w:kern w:val="36"/>
      <w:sz w:val="48"/>
      <w:szCs w:val="48"/>
    </w:rPr>
  </w:style>
  <w:style w:type="character" w:customStyle="1" w:styleId="13">
    <w:name w:val="normal105"/>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1097</Words>
  <Characters>6259</Characters>
  <Lines>52</Lines>
  <Paragraphs>14</Paragraphs>
  <TotalTime>0</TotalTime>
  <ScaleCrop>false</ScaleCrop>
  <LinksUpToDate>false</LinksUpToDate>
  <CharactersWithSpaces>7342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2021-10-27T02:26:00Z</dcterms:created>
  <dc:creator>DELL</dc:creator>
  <cp:lastModifiedBy>dell-pc</cp:lastModifiedBy>
  <dcterms:modified xsi:type="dcterms:W3CDTF">2021-11-11T06:10:04Z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7E56F819B2D04B77ADF4F1676BFD3AD6</vt:lpwstr>
  </property>
</Properties>
</file>